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D58" w:rsidRDefault="00F30D58" w:rsidP="00F30D58">
      <w:pPr>
        <w:adjustRightInd w:val="0"/>
        <w:snapToGrid w:val="0"/>
        <w:spacing w:before="200" w:line="288" w:lineRule="auto"/>
        <w:jc w:val="center"/>
        <w:outlineLvl w:val="1"/>
        <w:rPr>
          <w:rFonts w:ascii="Times New Roman" w:hAnsi="Times New Roman" w:cs="Times New Roman"/>
          <w:sz w:val="24"/>
          <w:szCs w:val="24"/>
        </w:rPr>
      </w:pPr>
      <w:r>
        <w:rPr>
          <w:rFonts w:ascii="Times New Roman" w:eastAsia="仿宋_GB2312" w:hAnsi="Times New Roman" w:cs="Times New Roman"/>
          <w:b/>
          <w:sz w:val="24"/>
          <w:szCs w:val="24"/>
        </w:rPr>
        <w:t xml:space="preserve">Detailed Rules of </w:t>
      </w:r>
      <w:r>
        <w:rPr>
          <w:rFonts w:ascii="Times New Roman" w:hAnsi="Times New Roman" w:cs="Times New Roman"/>
          <w:b/>
          <w:sz w:val="24"/>
          <w:szCs w:val="24"/>
        </w:rPr>
        <w:t>Blockboard</w:t>
      </w:r>
      <w:r>
        <w:rPr>
          <w:rFonts w:ascii="Times New Roman" w:eastAsia="仿宋_GB2312" w:hAnsi="Times New Roman" w:cs="Times New Roman"/>
          <w:b/>
          <w:sz w:val="24"/>
          <w:szCs w:val="24"/>
        </w:rPr>
        <w:t xml:space="preserve"> Futures of Dalian Commodity Exchange</w:t>
      </w:r>
      <w:r>
        <w:rPr>
          <w:rFonts w:ascii="Times New Roman" w:hAnsi="Times New Roman" w:cs="Times New Roman"/>
          <w:sz w:val="24"/>
          <w:szCs w:val="24"/>
        </w:rPr>
        <w:t xml:space="preserve"> </w:t>
      </w:r>
    </w:p>
    <w:p w:rsidR="00F30D58" w:rsidRDefault="00F30D58" w:rsidP="00F30D58">
      <w:pPr>
        <w:adjustRightInd w:val="0"/>
        <w:snapToGrid w:val="0"/>
        <w:spacing w:before="200" w:line="288" w:lineRule="auto"/>
        <w:jc w:val="center"/>
        <w:rPr>
          <w:rFonts w:ascii="Times New Roman" w:hAnsi="Times New Roman" w:cs="Times New Roman"/>
          <w:b/>
          <w:sz w:val="24"/>
          <w:szCs w:val="24"/>
        </w:rPr>
      </w:pPr>
    </w:p>
    <w:p w:rsidR="00F30D58" w:rsidRDefault="00F30D58" w:rsidP="00F30D58">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 General Provisions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Detailed Rules of Blockboard Futures of Dalian Commodity Exchange (the "</w:t>
      </w:r>
      <w:r>
        <w:rPr>
          <w:rFonts w:ascii="Times New Roman" w:hAnsi="Times New Roman" w:cs="Times New Roman"/>
          <w:b/>
          <w:sz w:val="24"/>
          <w:szCs w:val="24"/>
        </w:rPr>
        <w:t>Detailed Rules</w:t>
      </w:r>
      <w:r>
        <w:rPr>
          <w:rFonts w:ascii="Times New Roman" w:hAnsi="Times New Roman" w:cs="Times New Roman"/>
          <w:sz w:val="24"/>
          <w:szCs w:val="24"/>
        </w:rPr>
        <w:t xml:space="preserve">") are formulated pursuant to the </w:t>
      </w:r>
      <w:r>
        <w:rPr>
          <w:rFonts w:ascii="Times New Roman" w:hAnsi="Times New Roman" w:cs="Times New Roman"/>
          <w:i/>
          <w:sz w:val="24"/>
          <w:szCs w:val="24"/>
        </w:rPr>
        <w:t>Trading Rules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Blockboard Futures Contract of Dalian Commodity Exchange</w:t>
      </w:r>
      <w:r>
        <w:rPr>
          <w:rFonts w:ascii="Times New Roman" w:hAnsi="Times New Roman" w:cs="Times New Roman"/>
          <w:sz w:val="24"/>
          <w:szCs w:val="24"/>
        </w:rPr>
        <w:t xml:space="preserve"> for the purpose of standardizing the trading of blockboard futures contracts.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Dalian Commodity Exchange (the "</w:t>
      </w:r>
      <w:r>
        <w:rPr>
          <w:rFonts w:ascii="Times New Roman" w:hAnsi="Times New Roman" w:cs="Times New Roman"/>
          <w:b/>
          <w:sz w:val="24"/>
          <w:szCs w:val="24"/>
        </w:rPr>
        <w:t>Exchange</w:t>
      </w:r>
      <w:r>
        <w:rPr>
          <w:rFonts w:ascii="Times New Roman" w:hAnsi="Times New Roman" w:cs="Times New Roman"/>
          <w:sz w:val="24"/>
          <w:szCs w:val="24"/>
        </w:rPr>
        <w:t>"), its Members, the clients, the designated delivery warehouses, the designated quality inspection agencies, the designated futures margin depositary banks and other participants in the futures market shall comply with the Detailed Rules.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it is not provided in the Detailed Rules, the relevant rules of the Exchange shall apply.</w:t>
      </w:r>
    </w:p>
    <w:p w:rsidR="00F30D58" w:rsidRDefault="00F30D58" w:rsidP="00F30D58">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  Principle Terms of the Contract and Relevant Parameters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quality standards for the standard deliverable products under the blockboard futures contracts shall be detailed in the </w:t>
      </w:r>
      <w:r>
        <w:rPr>
          <w:rFonts w:ascii="Times New Roman" w:hAnsi="Times New Roman" w:cs="Times New Roman"/>
          <w:i/>
          <w:sz w:val="24"/>
          <w:szCs w:val="24"/>
        </w:rPr>
        <w:t xml:space="preserve">Blockboard Delivery Quality Standards of Dalian Commodity Exchange </w:t>
      </w:r>
      <w:r>
        <w:rPr>
          <w:rFonts w:ascii="Times New Roman" w:hAnsi="Times New Roman" w:cs="Times New Roman"/>
          <w:sz w:val="24"/>
          <w:szCs w:val="24"/>
        </w:rPr>
        <w:t>(F/DCE BB002-2018) as Annex 1 attached hereto.</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blockboard futures contract shall take the form of physical delivery.</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warehouses designated for blockboard shall be divided into the benchmark delivery warehouses and the non-benchmark delivery warehouses (detailed in the</w:t>
      </w:r>
      <w:r>
        <w:rPr>
          <w:rFonts w:ascii="Times New Roman" w:hAnsi="Times New Roman" w:cs="Times New Roman"/>
          <w:i/>
          <w:sz w:val="24"/>
          <w:szCs w:val="24"/>
        </w:rPr>
        <w:t xml:space="preserve"> List of Delivery Warehouses Designated for Blockboard of Dalian Commodity Exchange</w:t>
      </w:r>
      <w:r>
        <w:rPr>
          <w:rFonts w:ascii="Times New Roman" w:hAnsi="Times New Roman" w:cs="Times New Roman"/>
          <w:sz w:val="24"/>
          <w:szCs w:val="24"/>
        </w:rPr>
        <w:t xml:space="preserve"> as Annex 2 attached hereto), and may be adjusted by the Exchange as the case may be.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contract months of the blockboard futures contract are January, February, March, April, May, June, July, August, September, October, November and December.</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trading unit of the blockboard futures contract is 500 Sheets/Lot.</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price quote unit of the blockboard futures contract is CNY/Sheet.</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minimum tick size of the blockboard futures contract is 0.05 CNY/Sheet.</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maximum quantity of orders placed each time for the blockboard </w:t>
      </w:r>
      <w:r>
        <w:rPr>
          <w:rFonts w:ascii="Times New Roman" w:hAnsi="Times New Roman" w:cs="Times New Roman"/>
          <w:sz w:val="24"/>
          <w:szCs w:val="24"/>
        </w:rPr>
        <w:lastRenderedPageBreak/>
        <w:t>futures contract shall be one thousand (1,000) lots.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standard of trading margins, price limit range and position limit under the blockboard futures contract shall be subject to the relevant provisions of the </w:t>
      </w:r>
      <w:r>
        <w:rPr>
          <w:rFonts w:ascii="Times New Roman" w:hAnsi="Times New Roman" w:cs="Times New Roman"/>
          <w:i/>
          <w:sz w:val="24"/>
          <w:szCs w:val="24"/>
        </w:rPr>
        <w:t>Measures for Risk Management of Dalian Commodity Exchange</w:t>
      </w:r>
      <w:r>
        <w:rPr>
          <w:rFonts w:ascii="Times New Roman" w:hAnsi="Times New Roman" w:cs="Times New Roman"/>
          <w:sz w:val="24"/>
          <w:szCs w:val="24"/>
        </w:rPr>
        <w:t xml:space="preserve">. </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trading day of the blockboard futures contract is the tenth trading day of the contract month.</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delivery day of the blockboard futures contract is the third trading day after the last trading day.</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ticker symbol of the blockboard futures contract is BB.</w:t>
      </w:r>
    </w:p>
    <w:p w:rsidR="00F30D58" w:rsidRDefault="00F30D58" w:rsidP="00F30D58">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III  Delivery and Clearing</w:t>
      </w:r>
    </w:p>
    <w:p w:rsidR="00F30D58" w:rsidRDefault="00F30D58" w:rsidP="00F30D58">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  General Provisions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blockboard futures contract applies the exchange of futures for physicals (the "</w:t>
      </w:r>
      <w:r>
        <w:rPr>
          <w:rFonts w:ascii="Times New Roman" w:hAnsi="Times New Roman" w:cs="Times New Roman"/>
          <w:b/>
          <w:sz w:val="24"/>
          <w:szCs w:val="24"/>
        </w:rPr>
        <w:t>EFP</w:t>
      </w:r>
      <w:r>
        <w:rPr>
          <w:rFonts w:ascii="Times New Roman" w:hAnsi="Times New Roman" w:cs="Times New Roman"/>
          <w:sz w:val="24"/>
          <w:szCs w:val="24"/>
        </w:rPr>
        <w:t xml:space="preserve">") and one-off delivery, the detailed procedures of which are provided in the relevant provisions of the </w:t>
      </w:r>
      <w:r>
        <w:rPr>
          <w:rFonts w:ascii="Times New Roman" w:hAnsi="Times New Roman" w:cs="Times New Roman"/>
          <w:i/>
          <w:sz w:val="24"/>
          <w:szCs w:val="24"/>
        </w:rPr>
        <w:t>Measures for Delivery Management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Measures for Clearing Management of Dalian Commodity Exchange</w:t>
      </w:r>
      <w:r>
        <w:rPr>
          <w:rFonts w:ascii="Times New Roman" w:hAnsi="Times New Roman" w:cs="Times New Roman"/>
          <w:sz w:val="24"/>
          <w:szCs w:val="24"/>
        </w:rPr>
        <w:t xml:space="preserve">. </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unit of blockboard futures contract shall be five hundred (500) sheets.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standard warehouse receipt of the blockboard can be divided into the standard warehouse receipt of storage warehouse and the standard factory warehouse receipt.</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differences of the blockboard futures contract discounts and/or premiums shall be settled between the owner and the designated delivery warehouse.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Each sixty-five (65) sheets shall be one (1) packaging unit, that is, one (1) bundle, and the peripheries shall be covered with a moisture-proof plastic layer. The blockboard of the same client and of the same batch to be loaded in the warehouse shall be of the same factory and of the same specifications. Upon delivery, the blockboard shall be loaded in the warehouse by bundle, and the blockboard that is less than one (1) bundle shall be packaged as per the delivery quality standards.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prices of the packages of the blockboard shall be included in the blockboard contract price.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dedicated VAT invoice shall be issued for delivery of blockboard.</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lastRenderedPageBreak/>
        <w:t>The delivery commissions, the sampling and inspection costs, the storage fees and other fees of Blockboard shall be separately published by the Exchange and no dissipation fees will be charged.</w:t>
      </w:r>
    </w:p>
    <w:p w:rsidR="00F30D58" w:rsidRDefault="00F30D58" w:rsidP="00F30D58">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II  Standard Warehouse Receipt Delivery</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 xml:space="preserve"> shall apply to the generation, circulation and deregistration of the standard warehouse receipts, if not provided in the Detailed Rules.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Member shall pay the notice of intent to deliver earnest money to the Exchange as per the standard of CNY zero point two (0.2) per sheet when it handles the notice of intent to deliver.</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owner which has fully completed the notice of intent to deliver shall, before consignment, notify the designated delivery warehouse of the vehicle or vessel number, products, quantity, arrival time and other information, and the designated delivery warehouse shall reasonably arrange for receipt and loading-in of the commodities.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designated delivery warehouse shall engage an inspection agency designated by the Exchange to carry out the quality inspection of the commodities to be loaded in the warehouse. The inspection costs shall be borne by the owner and shall be forwarded by the designated delivery warehouse.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blockboard quality inspection shall be grouped in batches as per the same factory, the same specifications and the manufacturing dates within three (3) consecutive calendar days (inclusive of the third calendar day), with each batch being three thousand (3,000) sheets. The inspection shall be carried in more than one (1) batch for those of more than three thousand (3,000) sheets, or in one (1) batch for those less than three thousand (3,000) sheets.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inspection agency designated by the Exchange shall, after its completion of the quality inspection of the blockboard loaded in the warehouse, issue one (1) original and three (3) duplicate inspection reports; and the original shall be submitted to the designated delivery warehouse and two (2) of the duplicates shall be respectively submitted to the Exchange and the owner.</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designated delivery warehouse shall carry out, subject to the applicable provisions of the Exchange, inspection of the manufacturer, quality, packaging and the relevant materials and certificates of the </w:t>
      </w:r>
      <w:r>
        <w:rPr>
          <w:rFonts w:ascii="Times New Roman" w:hAnsi="Times New Roman" w:cs="Times New Roman"/>
          <w:sz w:val="24"/>
          <w:szCs w:val="24"/>
        </w:rPr>
        <w:lastRenderedPageBreak/>
        <w:t>blockboard which has been loaded in the warehouse.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receiving and consigning quantity of the blockboard shall be subject to the checking by the designated delivery warehouse.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manufacturing date of the blockboard commodities shall not be earlier than the sixtieth (60</w:t>
      </w:r>
      <w:r>
        <w:rPr>
          <w:rFonts w:ascii="Times New Roman" w:hAnsi="Times New Roman" w:cs="Times New Roman"/>
          <w:sz w:val="24"/>
          <w:szCs w:val="24"/>
        </w:rPr>
        <w:t>）</w:t>
      </w:r>
      <w:r>
        <w:rPr>
          <w:rFonts w:ascii="Times New Roman" w:hAnsi="Times New Roman" w:cs="Times New Roman"/>
          <w:sz w:val="24"/>
          <w:szCs w:val="24"/>
        </w:rPr>
        <w:t xml:space="preserve"> calendar day prior to the date of application for registration of the standard warehouse receipt of the blockboard warehouse.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deregistration of the standard warehouse receipt shall be carried out against the warehouse receipts of the blockboard prior to the last trading day of each March, July and November.</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With respect to the factory warehouse of facing process capacity, after the deregistration of the blockboard standard warehouse receipt, in case the owner requests facing, the factory warehouse shall be obligated to provide the facing blockboard to the owner's satisfaction within the factory warehouse's process capacity, with the process costs to be determined through negotiations between the warehouse and the owner. Under such circumstance, the consignment time and speed may not be consistent with those described in the applicable provisions of the Exchange, but shall be confirmed in writing by the factory warehouse and the owner and properly preserved for check.</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When the blockboard is loaded out of the storage warehouse, the owner which holds the Notice to Load Out or load-out password shall contact the designated delivery warehouse for the loading-out matters three (3) calendar days prior to the actual pickup date, and shall pick up the commodities at the designated delivery warehouse within ten (10) working days (inclusive of the tenth working day) after the deregistration of the standard warehouse receipt.</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If the owner has any objection over the quality of the commodities to be loaded out of the warehouse, it shall firstly negotiate with the warehouse for settlement. If the negotiation fails, the owner shall, within ten (10) working days after the standard warehouse receipt is deregistered and if the commodities have been delivered but have not been loaded out of the warehouse, file to the Exchange in writing an application for re-inspection. Such application shall indicate the name of the warehouse, the quantity, the quality </w:t>
      </w:r>
      <w:r>
        <w:rPr>
          <w:rFonts w:ascii="Times New Roman" w:hAnsi="Times New Roman" w:cs="Times New Roman" w:hint="eastAsia"/>
          <w:sz w:val="24"/>
          <w:szCs w:val="24"/>
        </w:rPr>
        <w:t>index</w:t>
      </w:r>
      <w:r>
        <w:rPr>
          <w:rFonts w:ascii="Times New Roman" w:hAnsi="Times New Roman" w:cs="Times New Roman"/>
          <w:sz w:val="24"/>
          <w:szCs w:val="24"/>
        </w:rPr>
        <w:t xml:space="preserve">, the manufacturers, the production date, the stack location number and other information of the commodities to be re-inspected, leave the contact information and be affixed with the official seal of the owner. If no application is filed in the prescribed manner within </w:t>
      </w:r>
      <w:r>
        <w:rPr>
          <w:rFonts w:ascii="Times New Roman" w:hAnsi="Times New Roman" w:cs="Times New Roman"/>
          <w:sz w:val="24"/>
          <w:szCs w:val="24"/>
        </w:rPr>
        <w:lastRenderedPageBreak/>
        <w:t xml:space="preserve">the prescribed period, it will be deemed that the owner has no objection over the quality of the commodities that are being loaded out of the warehouse. The Exchange shall entrust a designated quality inspection agency to carry out the re-inspection, and the re-inspection result shall be the basis for any dispute settlement. The re-inspection costs shall be advanced by the owner. </w:t>
      </w:r>
      <w:r>
        <w:rPr>
          <w:rFonts w:ascii="Times New Roman" w:hAnsi="Times New Roman" w:cs="Times New Roman" w:hint="eastAsia"/>
          <w:sz w:val="24"/>
          <w:szCs w:val="24"/>
        </w:rPr>
        <w:t>I</w:t>
      </w:r>
      <w:r>
        <w:rPr>
          <w:rFonts w:ascii="Times New Roman" w:hAnsi="Times New Roman" w:cs="Times New Roman"/>
          <w:sz w:val="24"/>
          <w:szCs w:val="24"/>
        </w:rPr>
        <w:t>f the re-inspection result is consistent with the delivery quality standards</w:t>
      </w:r>
      <w:r>
        <w:rPr>
          <w:rFonts w:ascii="Times New Roman" w:hAnsi="Times New Roman" w:cs="Times New Roman" w:hint="eastAsia"/>
          <w:sz w:val="24"/>
          <w:szCs w:val="24"/>
        </w:rPr>
        <w:t>, t</w:t>
      </w:r>
      <w:r>
        <w:rPr>
          <w:rFonts w:ascii="Times New Roman" w:hAnsi="Times New Roman" w:cs="Times New Roman"/>
          <w:sz w:val="24"/>
          <w:szCs w:val="24"/>
        </w:rPr>
        <w:t>he relevant fees (including but not limited to the inspection fees, traveling expenses</w:t>
      </w:r>
      <w:r>
        <w:rPr>
          <w:rFonts w:ascii="Times New Roman" w:hAnsi="Times New Roman" w:cs="Times New Roman" w:hint="eastAsia"/>
          <w:sz w:val="24"/>
          <w:szCs w:val="24"/>
        </w:rPr>
        <w:t>,</w:t>
      </w:r>
      <w:r>
        <w:rPr>
          <w:rFonts w:ascii="Times New Roman" w:hAnsi="Times New Roman" w:cs="Times New Roman"/>
          <w:sz w:val="24"/>
          <w:szCs w:val="24"/>
        </w:rPr>
        <w:t xml:space="preserve"> storage fees</w:t>
      </w:r>
      <w:r>
        <w:rPr>
          <w:rFonts w:ascii="Times New Roman" w:hAnsi="Times New Roman" w:cs="Times New Roman" w:hint="eastAsia"/>
          <w:sz w:val="24"/>
          <w:szCs w:val="24"/>
        </w:rPr>
        <w:t xml:space="preserve">, </w:t>
      </w:r>
      <w:r>
        <w:rPr>
          <w:rFonts w:ascii="Times New Roman" w:hAnsi="Times New Roman" w:cs="Times New Roman"/>
          <w:sz w:val="24"/>
          <w:szCs w:val="24"/>
        </w:rPr>
        <w:t>stack shifting costs) and</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sampling loss incurred thereby shall be borne by the owner; otherwise, </w:t>
      </w:r>
      <w:r>
        <w:rPr>
          <w:rFonts w:ascii="Times New Roman" w:hAnsi="Times New Roman" w:cs="Times New Roman" w:hint="eastAsia"/>
          <w:sz w:val="24"/>
          <w:szCs w:val="24"/>
        </w:rPr>
        <w:t>t</w:t>
      </w:r>
      <w:r>
        <w:rPr>
          <w:rFonts w:ascii="Times New Roman" w:hAnsi="Times New Roman" w:cs="Times New Roman"/>
          <w:sz w:val="24"/>
          <w:szCs w:val="24"/>
        </w:rPr>
        <w:t>he relevant fees (including but not limited to the inspection fees, traveling expenses</w:t>
      </w:r>
      <w:r>
        <w:rPr>
          <w:rFonts w:ascii="Times New Roman" w:hAnsi="Times New Roman" w:cs="Times New Roman" w:hint="eastAsia"/>
          <w:sz w:val="24"/>
          <w:szCs w:val="24"/>
        </w:rPr>
        <w:t>,</w:t>
      </w:r>
      <w:r>
        <w:rPr>
          <w:rFonts w:ascii="Times New Roman" w:hAnsi="Times New Roman" w:cs="Times New Roman"/>
          <w:sz w:val="24"/>
          <w:szCs w:val="24"/>
        </w:rPr>
        <w:t xml:space="preserve"> storage fees</w:t>
      </w:r>
      <w:r>
        <w:rPr>
          <w:rFonts w:ascii="Times New Roman" w:hAnsi="Times New Roman" w:cs="Times New Roman" w:hint="eastAsia"/>
          <w:sz w:val="24"/>
          <w:szCs w:val="24"/>
        </w:rPr>
        <w:t xml:space="preserve">, </w:t>
      </w:r>
      <w:r>
        <w:rPr>
          <w:rFonts w:ascii="Times New Roman" w:hAnsi="Times New Roman" w:cs="Times New Roman"/>
          <w:sz w:val="24"/>
          <w:szCs w:val="24"/>
        </w:rPr>
        <w:t>stack shifting costs) and</w:t>
      </w:r>
      <w:r>
        <w:rPr>
          <w:rFonts w:ascii="Times New Roman" w:hAnsi="Times New Roman" w:cs="Times New Roman" w:hint="eastAsia"/>
          <w:sz w:val="24"/>
          <w:szCs w:val="24"/>
        </w:rPr>
        <w:t xml:space="preserve"> </w:t>
      </w:r>
      <w:r>
        <w:rPr>
          <w:rFonts w:ascii="Times New Roman" w:hAnsi="Times New Roman" w:cs="Times New Roman"/>
          <w:sz w:val="24"/>
          <w:szCs w:val="24"/>
        </w:rPr>
        <w:t>sampling loss incurred thereby</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shall be borne by the warehouse; and the warehouse may exchange or repurchase the commodities, with the repurchase payments = 120% of the delivery settlement price of the latest delivery month × the quantity of the commodities which are re-inspected not conforming to the delivery quality standards. In case of exchanging commodities, the warehouse shall complete the preparation of the commodities within fifteen (15) working days after its receipt of the dispute re-inspection report. The Exchange shall entrust a designated quality inspection agency to inspect the exchanged commodities; if the exchanged commodities conform to the delivery quality standards, the owner shall not refuse receipt of the exchanged commodities and shall pick up the commodities within ten (10) working days at the warehouse after its receipt of the quality inspection report regarding the exchanged commodities; and if no pick-up is made in the prescribed manner within the prescribed period, the warehouse will not guarantee that the quality of all commodities will conform to the futures standards. </w:t>
      </w:r>
      <w:r>
        <w:rPr>
          <w:rFonts w:ascii="Times New Roman" w:hAnsi="Times New Roman" w:cs="Times New Roman" w:hint="eastAsia"/>
          <w:sz w:val="24"/>
          <w:szCs w:val="24"/>
        </w:rPr>
        <w:t>T</w:t>
      </w:r>
      <w:r>
        <w:rPr>
          <w:rFonts w:ascii="Times New Roman" w:hAnsi="Times New Roman" w:cs="Times New Roman"/>
          <w:sz w:val="24"/>
          <w:szCs w:val="24"/>
        </w:rPr>
        <w:t>he relevant fees (including but not limited to the inspection fees, storage fees</w:t>
      </w:r>
      <w:r>
        <w:rPr>
          <w:rFonts w:ascii="Times New Roman" w:hAnsi="Times New Roman" w:cs="Times New Roman" w:hint="eastAsia"/>
          <w:sz w:val="24"/>
          <w:szCs w:val="24"/>
        </w:rPr>
        <w:t xml:space="preserve">, </w:t>
      </w:r>
      <w:r>
        <w:rPr>
          <w:rFonts w:ascii="Times New Roman" w:hAnsi="Times New Roman" w:cs="Times New Roman"/>
          <w:sz w:val="24"/>
          <w:szCs w:val="24"/>
        </w:rPr>
        <w:t>stack shifting costs) and</w:t>
      </w:r>
      <w:r>
        <w:rPr>
          <w:rFonts w:ascii="Times New Roman" w:hAnsi="Times New Roman" w:cs="Times New Roman" w:hint="eastAsia"/>
          <w:sz w:val="24"/>
          <w:szCs w:val="24"/>
        </w:rPr>
        <w:t xml:space="preserve"> </w:t>
      </w:r>
      <w:r>
        <w:rPr>
          <w:rFonts w:ascii="Times New Roman" w:hAnsi="Times New Roman" w:cs="Times New Roman"/>
          <w:sz w:val="24"/>
          <w:szCs w:val="24"/>
        </w:rPr>
        <w:t>sampling loss incurred by</w:t>
      </w:r>
      <w:r>
        <w:rPr>
          <w:rFonts w:ascii="Times New Roman" w:hAnsi="Times New Roman" w:cs="Times New Roman" w:hint="eastAsia"/>
          <w:sz w:val="24"/>
          <w:szCs w:val="24"/>
        </w:rPr>
        <w:t xml:space="preserve"> exchanging commodities </w:t>
      </w:r>
      <w:r>
        <w:rPr>
          <w:rFonts w:ascii="Times New Roman" w:hAnsi="Times New Roman" w:cs="Times New Roman"/>
          <w:sz w:val="24"/>
          <w:szCs w:val="24"/>
        </w:rPr>
        <w:t>shall be borne by the warehouse. If the exchanged commodities fail to conform to the delivery quality standards, the warehouse shall repurchase the commodities, with the repurchase payments = 120% of the delivery settlement price of the latest delivery month × the quantity of the commodities which are re-inspected upon commodity exchange not conforming to the delivery quality standards, and the corresponding commodities shall belong to the warehouse.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When the blockboard is loaded out of the factory warehouse, the owner shall pick up the commodities at the factory warehouse within seven (7) calendar days (in</w:t>
      </w:r>
      <w:bookmarkStart w:id="0" w:name="OLE_LINK152"/>
      <w:bookmarkStart w:id="1" w:name="OLE_LINK151"/>
      <w:r>
        <w:rPr>
          <w:rFonts w:ascii="Times New Roman" w:hAnsi="Times New Roman" w:cs="Times New Roman"/>
          <w:sz w:val="24"/>
          <w:szCs w:val="24"/>
        </w:rPr>
        <w:t>clusive of th</w:t>
      </w:r>
      <w:bookmarkEnd w:id="0"/>
      <w:bookmarkEnd w:id="1"/>
      <w:r>
        <w:rPr>
          <w:rFonts w:ascii="Times New Roman" w:hAnsi="Times New Roman" w:cs="Times New Roman"/>
          <w:sz w:val="24"/>
          <w:szCs w:val="24"/>
        </w:rPr>
        <w:t xml:space="preserve">e seventh calendar day) following the deregistration day of the standard warehouse receipt (exclusive of the deregistration day). The factory warehouse shall commence consignment </w:t>
      </w:r>
      <w:r>
        <w:rPr>
          <w:rFonts w:ascii="Times New Roman" w:hAnsi="Times New Roman" w:cs="Times New Roman"/>
          <w:sz w:val="24"/>
          <w:szCs w:val="24"/>
        </w:rPr>
        <w:lastRenderedPageBreak/>
        <w:t>within seven (7) calendar days (inclusive of the seventh calendar day) following the deregistration day of the standard warehouse receipt (exclusive of the deregistration day).</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When the blockboard is loaded out of the factory warehouse, the factory warehouse shall carry out the sampling under the owner's supervision, and the samplings shall be sealed after being confirmed by both parties and shall be preserved for thirty (30) calendar days following the consignment day.</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If the owner has any objection over the quality of the commodities to be loaded out of the factory warehouse, it shall firstly negotiate with the factory warehouse for settlement. If the negotiation fails, the owner shall, within ten (10) working days (exclusive of the tenth working day) after the samples are sealed by it according to the provisions, file in writing an application for re-inspection with the Exchange. The Exchange shall entrust a designated quality inspection agency to carry out the re-inspection over the reserved samples, and the re-inspection result shall be the basis for any dispute settlement. Where there is no provision herein, the relevant provisions of Article 36 hereof shall be applicable by reference.</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consigns commodities to the owner at a speed no higher than the daily consignment speed but the owner fails to pick up the commodities due to its transportation capability or any other reason attributable to the owner, the owner shall pay to the factory warehouse the late fee as per the quantity of the commodities which shall be, but fail to be, picked up. The late fee is determined as follows:</w:t>
      </w:r>
    </w:p>
    <w:p w:rsidR="00F30D58" w:rsidRDefault="00F30D58" w:rsidP="00F30D58">
      <w:pPr>
        <w:widowControl w:val="0"/>
        <w:numPr>
          <w:ilvl w:val="0"/>
          <w:numId w:val="2"/>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from the starting date of goods pick-up (inclusive of the pick-up day), for each day, the amount of late fee on the then-current day shall be figured out by multiplying the quantity of the goods which shall be picked up but fail to be picked up on the then-current day by the corresponding amount of late fee; and</w:t>
      </w:r>
    </w:p>
    <w:p w:rsidR="00F30D58" w:rsidRDefault="00F30D58" w:rsidP="00F30D58">
      <w:pPr>
        <w:widowControl w:val="0"/>
        <w:numPr>
          <w:ilvl w:val="0"/>
          <w:numId w:val="2"/>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to the completion date of goods pick-up (exclusive of the pick-up day), the total amount of late fee which the owner shall pay to the factory warehouse shall be figured out on the basis of totaling the daily amount of late fee.</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late fee = CNY 0.1/Sheet*Day.</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If the pick-up is carried out after expiry of the pick-up period (exclusive of the then-current day) and within twenty-two (22) calendar days (inclusive of the then-current day) following the deregistration of the </w:t>
      </w:r>
      <w:r>
        <w:rPr>
          <w:rFonts w:ascii="Times New Roman" w:hAnsi="Times New Roman" w:cs="Times New Roman"/>
          <w:sz w:val="24"/>
          <w:szCs w:val="24"/>
        </w:rPr>
        <w:lastRenderedPageBreak/>
        <w:t>standard warehouse receipt (exclusive of the deregistration day), the owner shall pay the late fee to the factory warehouse, and the factory warehouse shall assume the liability related to the commodity quality, consignment time and consignment speed pursuant to the futures standards, unless all the futures commodities have been consigned.</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The late fee shall be determined according to the following method: </w:t>
      </w:r>
    </w:p>
    <w:p w:rsidR="00F30D58" w:rsidRDefault="00F30D58" w:rsidP="00F30D58">
      <w:pPr>
        <w:widowControl w:val="0"/>
        <w:numPr>
          <w:ilvl w:val="0"/>
          <w:numId w:val="3"/>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from the date of expiration of pick-up period (inclusive of the expiration day), for each day, the amount of late fee on the then-current day shall be figured out by multiplying the quantity of the goods which shall be picked up but fail to be picked up on the then-current day by the corresponding amount of late fee; and</w:t>
      </w:r>
    </w:p>
    <w:p w:rsidR="00F30D58" w:rsidRDefault="00F30D58" w:rsidP="00F30D58">
      <w:pPr>
        <w:widowControl w:val="0"/>
        <w:numPr>
          <w:ilvl w:val="0"/>
          <w:numId w:val="3"/>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to the completion date of pick-up (exclusive of the pick-up day), the total amount of late fee which the owner shall pay to the factory warehouse shall be figured out on the basis of totaling the daily amount of late fee.</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late fee = CNY 0.1/Sheet*Day.</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If the owner picks up the commodities at the factory warehouse after twenty-two (22) calendar days (exclusive of the then-current day) following the date of deregistration of the standard warehouse receipt (exclusive of the deregistration day), the owner shall pay the late fee to the factory warehouse as calculated in the following formula, and the factory warehouse shall assume no liability related to the commodity quality, consignment time and consignment speed under the futures standards.</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late fee = CNY 0.1/Sheet*Day × Quantity of all the commodities × 22 Days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fails to consign commodities according to the required daily consignment speed but timely completes the consignment of all the commodities, the factory warehouse shall compensate the owner.</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compensation = Delivery settlement price of the last delivery month of such commodity × Quantity of the commodities which shall be, but fail to be, consigned according to the required daily consignment speed × 5%</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Where the factory warehouse fails to timely complete the consignment of all the commodities, the factory warehouse shall, in addition to the compensation provided in Article 41 of the Detailed Rules, compensate </w:t>
      </w:r>
      <w:r>
        <w:rPr>
          <w:rFonts w:ascii="Times New Roman" w:hAnsi="Times New Roman" w:cs="Times New Roman"/>
          <w:sz w:val="24"/>
          <w:szCs w:val="24"/>
        </w:rPr>
        <w:lastRenderedPageBreak/>
        <w:t>the owner the amount of compensation, the amount of compensation = Delivery settlement price of the last delivery month of such commodity × Quantity of the commodities which shall be, but fail to be, consigned according to the total quantity of the commodities × 5%; the following procedures shall apply to such failure:</w:t>
      </w:r>
    </w:p>
    <w:p w:rsidR="00F30D58" w:rsidRDefault="00F30D58" w:rsidP="00F30D58">
      <w:pPr>
        <w:widowControl w:val="0"/>
        <w:numPr>
          <w:ilvl w:val="0"/>
          <w:numId w:val="4"/>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the Exchange shall supply to the owner the physical commodities of the same quality and quantity of other factory warehouses or locations and bear all the costs and expenses arising out of or in connection with the adjustment of the delivery site and the delayed consignment; or</w:t>
      </w:r>
    </w:p>
    <w:p w:rsidR="00F30D58" w:rsidRDefault="00F30D58" w:rsidP="00F30D58">
      <w:pPr>
        <w:widowControl w:val="0"/>
        <w:numPr>
          <w:ilvl w:val="0"/>
          <w:numId w:val="4"/>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where the Exchange fails to supply the above commodities, the Exchange shall refund to the owner the payment of the commodities and compensate the owner.</w:t>
      </w:r>
    </w:p>
    <w:p w:rsidR="00F30D58" w:rsidRDefault="00F30D58" w:rsidP="00F30D58">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refunded payment of commodities and compensation = Delivery settlement price of the last delivery month of such commodity × Quantity of the commodities which shall be, but fail to be, consigned according to the total quantity of the commodities × 120%</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In the event of any violation by the factory warehouse described in Article 41 or 42 of the Detailed Rules, the compensation shall firstly be paid to the owner by the factory warehouse. Where the factory warehouse fails to pay such compensation or the amount of compensation is insufficient, such violation shall be handled by the Exchange subject to the applicable provisions of the </w:t>
      </w:r>
      <w:r>
        <w:rPr>
          <w:rFonts w:ascii="Times New Roman" w:hAnsi="Times New Roman" w:cs="Times New Roman"/>
          <w:i/>
          <w:sz w:val="24"/>
          <w:szCs w:val="24"/>
        </w:rPr>
        <w:t>Measures for Standard Warehouse Receipt Management of Dalian Commodity Exchange.</w:t>
      </w:r>
    </w:p>
    <w:p w:rsidR="00F30D58" w:rsidRDefault="00F30D58" w:rsidP="00F30D58">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IV  Supplementary Provisions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Any violation of the Detailed Rules shall be handled by the Exchange subject to the applicable provisions of the </w:t>
      </w:r>
      <w:r>
        <w:rPr>
          <w:rFonts w:ascii="Times New Roman" w:hAnsi="Times New Roman" w:cs="Times New Roman"/>
          <w:i/>
          <w:sz w:val="24"/>
          <w:szCs w:val="24"/>
        </w:rPr>
        <w:t xml:space="preserve">Measures against Rule Violations of Dalian Commodity Exchange </w:t>
      </w:r>
      <w:r>
        <w:rPr>
          <w:rFonts w:ascii="Times New Roman" w:hAnsi="Times New Roman" w:cs="Times New Roman"/>
          <w:sz w:val="24"/>
          <w:szCs w:val="24"/>
        </w:rPr>
        <w:t>and other rules.</w:t>
      </w:r>
    </w:p>
    <w:p w:rsidR="00F30D58" w:rsidRDefault="00F30D58" w:rsidP="00F30D58">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Exchange reserves the right to interpret the Detailed Rules.</w:t>
      </w:r>
    </w:p>
    <w:p w:rsidR="00F30D58" w:rsidRDefault="00F30D58" w:rsidP="00F30D58">
      <w:pPr>
        <w:widowControl w:val="0"/>
        <w:numPr>
          <w:ilvl w:val="0"/>
          <w:numId w:val="1"/>
        </w:numPr>
        <w:adjustRightInd w:val="0"/>
        <w:snapToGrid w:val="0"/>
        <w:spacing w:before="200" w:line="288" w:lineRule="auto"/>
        <w:rPr>
          <w:rFonts w:ascii="Times New Roman" w:hAnsi="Times New Roman" w:cs="Times New Roman"/>
          <w:b/>
          <w:sz w:val="24"/>
          <w:szCs w:val="24"/>
        </w:rPr>
      </w:pPr>
      <w:r>
        <w:rPr>
          <w:rFonts w:ascii="Times New Roman" w:hAnsi="Times New Roman" w:cs="Times New Roman"/>
          <w:sz w:val="24"/>
          <w:szCs w:val="24"/>
        </w:rPr>
        <w:t>The Detailed Rules shall come into force on July 1, 2019.</w:t>
      </w:r>
    </w:p>
    <w:p w:rsidR="00F30D58" w:rsidRDefault="00F30D58" w:rsidP="00F30D58">
      <w:pPr>
        <w:adjustRightInd w:val="0"/>
        <w:snapToGrid w:val="0"/>
        <w:spacing w:before="200" w:line="288" w:lineRule="auto"/>
        <w:rPr>
          <w:rFonts w:ascii="Times New Roman" w:hAnsi="Times New Roman" w:cs="Times New Roman"/>
          <w:b/>
          <w:sz w:val="24"/>
          <w:szCs w:val="24"/>
        </w:rPr>
      </w:pPr>
    </w:p>
    <w:p w:rsidR="00F30D58" w:rsidRDefault="00F30D58" w:rsidP="00F30D58">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Annex 1:  Blockboard Delivery Quality Standard of Dalian Commodity Exchange (F/DCE BB002-2018)</w:t>
      </w:r>
    </w:p>
    <w:p w:rsidR="00F30D58" w:rsidRDefault="00F30D58" w:rsidP="00F30D58">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Annex 2:  List of Delivery Warehouses Designated for Blockboard of Dalian Commodity Exchange</w:t>
      </w:r>
    </w:p>
    <w:p w:rsidR="00F30D58" w:rsidRDefault="00F30D58" w:rsidP="00F30D58">
      <w:pPr>
        <w:shd w:val="clear" w:color="auto" w:fill="FFFFFF"/>
        <w:adjustRightInd w:val="0"/>
        <w:snapToGrid w:val="0"/>
        <w:spacing w:before="200" w:line="288" w:lineRule="auto"/>
        <w:rPr>
          <w:rFonts w:ascii="Times New Roman" w:hAnsi="Times New Roman" w:cs="Times New Roman"/>
          <w:b/>
          <w:i/>
          <w:sz w:val="24"/>
          <w:szCs w:val="24"/>
        </w:rPr>
      </w:pPr>
    </w:p>
    <w:p w:rsidR="00F30D58" w:rsidRDefault="00F30D58" w:rsidP="00F30D58">
      <w:pPr>
        <w:shd w:val="clear" w:color="auto" w:fill="FFFFFF"/>
        <w:adjustRightInd w:val="0"/>
        <w:snapToGrid w:val="0"/>
        <w:spacing w:before="200" w:line="288" w:lineRule="auto"/>
        <w:rPr>
          <w:rFonts w:ascii="Times New Roman" w:hAnsi="Times New Roman" w:cs="Times New Roman"/>
          <w:i/>
          <w:sz w:val="24"/>
          <w:szCs w:val="24"/>
        </w:rPr>
      </w:pPr>
      <w:r>
        <w:rPr>
          <w:rFonts w:ascii="Times New Roman" w:hAnsi="Times New Roman" w:cs="Times New Roman"/>
          <w:b/>
          <w:i/>
          <w:sz w:val="24"/>
          <w:szCs w:val="24"/>
        </w:rPr>
        <w:t>Disclaimer</w:t>
      </w:r>
      <w:r>
        <w:rPr>
          <w:rFonts w:ascii="Times New Roman" w:hAnsi="Times New Roman" w:cs="Times New Roman"/>
          <w:i/>
          <w:sz w:val="24"/>
          <w:szCs w:val="24"/>
        </w:rPr>
        <w:t>: This English translation may be used for reference only. In cases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p>
    <w:p w:rsidR="00010291" w:rsidRDefault="00010291">
      <w:pPr>
        <w:jc w:val="left"/>
        <w:rPr>
          <w:rFonts w:ascii="Times New Roman" w:hAnsi="Times New Roman" w:cs="Times New Roman"/>
          <w:b/>
          <w:sz w:val="24"/>
          <w:szCs w:val="24"/>
        </w:rPr>
      </w:pPr>
      <w:r>
        <w:rPr>
          <w:rFonts w:ascii="Times New Roman" w:hAnsi="Times New Roman" w:cs="Times New Roman"/>
          <w:b/>
          <w:sz w:val="24"/>
          <w:szCs w:val="24"/>
        </w:rPr>
        <w:br w:type="page"/>
      </w:r>
    </w:p>
    <w:p w:rsidR="00010291" w:rsidRDefault="00010291" w:rsidP="00010291">
      <w:pPr>
        <w:shd w:val="clear" w:color="auto" w:fill="FFFFFF"/>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lastRenderedPageBreak/>
        <w:t>Annex 1</w:t>
      </w:r>
    </w:p>
    <w:p w:rsidR="00010291" w:rsidRDefault="00010291" w:rsidP="00010291">
      <w:pPr>
        <w:shd w:val="clear" w:color="auto" w:fill="FFFFFF"/>
        <w:snapToGrid w:val="0"/>
        <w:spacing w:after="200" w:line="288" w:lineRule="auto"/>
        <w:jc w:val="center"/>
        <w:rPr>
          <w:rFonts w:ascii="Times New Roman" w:hAnsi="Times New Roman" w:cs="Arial"/>
          <w:b/>
          <w:bCs/>
          <w:color w:val="333333"/>
          <w:sz w:val="24"/>
          <w:szCs w:val="24"/>
        </w:rPr>
      </w:pPr>
      <w:r>
        <w:rPr>
          <w:rFonts w:ascii="Times New Roman" w:hAnsi="Times New Roman" w:cs="Arial"/>
          <w:b/>
          <w:bCs/>
          <w:color w:val="333333"/>
          <w:sz w:val="24"/>
          <w:szCs w:val="24"/>
        </w:rPr>
        <w:t xml:space="preserve">Blockboard Delivery Quality Standard </w:t>
      </w:r>
      <w:r>
        <w:rPr>
          <w:rFonts w:ascii="Times New Roman" w:hAnsi="Times New Roman" w:cs="Arial" w:hint="eastAsia"/>
          <w:b/>
          <w:bCs/>
          <w:color w:val="333333"/>
          <w:sz w:val="24"/>
          <w:szCs w:val="24"/>
        </w:rPr>
        <w:t>of</w:t>
      </w:r>
      <w:r>
        <w:rPr>
          <w:rFonts w:ascii="Times New Roman" w:hAnsi="Times New Roman" w:cs="Arial"/>
          <w:b/>
          <w:bCs/>
          <w:color w:val="333333"/>
          <w:sz w:val="24"/>
          <w:szCs w:val="24"/>
        </w:rPr>
        <w:t xml:space="preserve"> Dalian Commodity Exchange ("DCE") </w:t>
      </w:r>
      <w:r>
        <w:rPr>
          <w:rFonts w:ascii="Times New Roman" w:hAnsi="Times New Roman" w:cs="Arial"/>
          <w:b/>
          <w:bCs/>
          <w:i/>
          <w:iCs/>
          <w:color w:val="333333"/>
          <w:sz w:val="24"/>
          <w:szCs w:val="24"/>
        </w:rPr>
        <w:t>(F/DCE BB002-2018)</w:t>
      </w:r>
    </w:p>
    <w:p w:rsidR="00010291" w:rsidRDefault="00010291" w:rsidP="00010291">
      <w:pPr>
        <w:pStyle w:val="a7"/>
        <w:widowControl/>
        <w:numPr>
          <w:ilvl w:val="0"/>
          <w:numId w:val="5"/>
        </w:numPr>
        <w:shd w:val="clear" w:color="auto" w:fill="FFFFFF"/>
        <w:snapToGrid w:val="0"/>
        <w:spacing w:after="200" w:line="288" w:lineRule="auto"/>
        <w:ind w:left="567" w:firstLineChars="0" w:hanging="567"/>
        <w:rPr>
          <w:rFonts w:ascii="Times New Roman" w:hAnsi="Times New Roman" w:cs="Arial"/>
          <w:b/>
          <w:bCs/>
          <w:color w:val="333333"/>
          <w:kern w:val="0"/>
          <w:sz w:val="24"/>
          <w:szCs w:val="24"/>
        </w:rPr>
      </w:pPr>
      <w:r>
        <w:rPr>
          <w:rFonts w:ascii="Times New Roman" w:hAnsi="Times New Roman" w:cs="Arial"/>
          <w:b/>
          <w:bCs/>
          <w:color w:val="333333"/>
          <w:kern w:val="0"/>
          <w:sz w:val="24"/>
          <w:szCs w:val="24"/>
        </w:rPr>
        <w:t xml:space="preserve">Main content and applicable </w:t>
      </w:r>
      <w:r>
        <w:rPr>
          <w:rFonts w:ascii="Times New Roman" w:hAnsi="Times New Roman" w:cs="Arial" w:hint="eastAsia"/>
          <w:b/>
          <w:bCs/>
          <w:color w:val="333333"/>
          <w:kern w:val="0"/>
          <w:sz w:val="24"/>
          <w:szCs w:val="24"/>
        </w:rPr>
        <w:t>s</w:t>
      </w:r>
      <w:r>
        <w:rPr>
          <w:rFonts w:ascii="Times New Roman" w:hAnsi="Times New Roman" w:cs="Arial"/>
          <w:b/>
          <w:bCs/>
          <w:color w:val="333333"/>
          <w:kern w:val="0"/>
          <w:sz w:val="24"/>
          <w:szCs w:val="24"/>
        </w:rPr>
        <w:t>cope</w:t>
      </w:r>
    </w:p>
    <w:p w:rsidR="00010291" w:rsidRDefault="00010291" w:rsidP="00010291">
      <w:pPr>
        <w:pStyle w:val="a7"/>
        <w:widowControl/>
        <w:numPr>
          <w:ilvl w:val="1"/>
          <w:numId w:val="6"/>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The standard herein (the "</w:t>
      </w:r>
      <w:r>
        <w:rPr>
          <w:rFonts w:ascii="Times New Roman" w:hAnsi="Times New Roman" w:cs="Arial"/>
          <w:b/>
          <w:bCs/>
          <w:color w:val="333333"/>
          <w:kern w:val="0"/>
          <w:sz w:val="24"/>
          <w:szCs w:val="24"/>
        </w:rPr>
        <w:t>Standard</w:t>
      </w:r>
      <w:r>
        <w:rPr>
          <w:rFonts w:ascii="Times New Roman" w:hAnsi="Times New Roman" w:cs="Arial"/>
          <w:color w:val="333333"/>
          <w:kern w:val="0"/>
          <w:sz w:val="24"/>
          <w:szCs w:val="24"/>
        </w:rPr>
        <w:t>") stipulates the quality requirements, inspection methods, sampling methods, determination rules, packaging requirements, etc. for blockboard delivered at DCE.</w:t>
      </w:r>
    </w:p>
    <w:p w:rsidR="00010291" w:rsidRDefault="00010291" w:rsidP="00010291">
      <w:pPr>
        <w:pStyle w:val="a7"/>
        <w:widowControl/>
        <w:numPr>
          <w:ilvl w:val="1"/>
          <w:numId w:val="6"/>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The Standard applies to standard products delivered under the blockboard futures contract of DCE.</w:t>
      </w:r>
    </w:p>
    <w:p w:rsidR="00010291" w:rsidRDefault="00010291" w:rsidP="00010291">
      <w:pPr>
        <w:pStyle w:val="a7"/>
        <w:widowControl/>
        <w:numPr>
          <w:ilvl w:val="0"/>
          <w:numId w:val="5"/>
        </w:numPr>
        <w:shd w:val="clear" w:color="auto" w:fill="FFFFFF"/>
        <w:snapToGrid w:val="0"/>
        <w:spacing w:after="200" w:line="288" w:lineRule="auto"/>
        <w:ind w:left="567" w:firstLineChars="0" w:hanging="567"/>
        <w:rPr>
          <w:rFonts w:ascii="Times New Roman" w:hAnsi="Times New Roman" w:cs="Arial"/>
          <w:b/>
          <w:bCs/>
          <w:color w:val="333333"/>
          <w:kern w:val="0"/>
          <w:sz w:val="24"/>
          <w:szCs w:val="24"/>
        </w:rPr>
      </w:pPr>
      <w:r>
        <w:rPr>
          <w:rFonts w:ascii="Times New Roman" w:hAnsi="Arial" w:cs="Arial" w:hint="eastAsia"/>
          <w:b/>
          <w:bCs/>
          <w:color w:val="333333"/>
          <w:kern w:val="0"/>
          <w:sz w:val="24"/>
          <w:szCs w:val="24"/>
        </w:rPr>
        <w:t>C</w:t>
      </w:r>
      <w:r>
        <w:rPr>
          <w:rFonts w:ascii="Times New Roman" w:hAnsi="Arial" w:cs="Arial"/>
          <w:b/>
          <w:bCs/>
          <w:color w:val="333333"/>
          <w:kern w:val="0"/>
          <w:sz w:val="24"/>
          <w:szCs w:val="24"/>
        </w:rPr>
        <w:t>ited rules and standards</w:t>
      </w:r>
    </w:p>
    <w:p w:rsidR="00010291" w:rsidRDefault="00010291" w:rsidP="00010291">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The provisions of the following documents are incorporated as the provisions of the Standard by reference. For those cited documents noted with dates, all of their following amendments (excluding corrections) and revised versions shall not be applied to the Standard; for those without noted dates, their latest versions shall be applied to the Standard.</w:t>
      </w:r>
    </w:p>
    <w:p w:rsidR="00010291" w:rsidRDefault="00010291" w:rsidP="00010291">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GB/T 5849-</w:t>
      </w:r>
      <w:r>
        <w:rPr>
          <w:rFonts w:ascii="Times New Roman" w:hAnsi="Times New Roman" w:cs="Arial"/>
          <w:color w:val="333333"/>
          <w:sz w:val="24"/>
          <w:szCs w:val="24"/>
        </w:rPr>
        <w:t>2006</w:t>
      </w:r>
      <w:r>
        <w:rPr>
          <w:rFonts w:ascii="Times New Roman" w:hAnsi="Times New Roman" w:cs="Arial"/>
          <w:i/>
          <w:iCs/>
          <w:color w:val="333333"/>
          <w:sz w:val="24"/>
          <w:szCs w:val="24"/>
        </w:rPr>
        <w:t xml:space="preserve"> Blockboard</w:t>
      </w:r>
    </w:p>
    <w:p w:rsidR="00010291" w:rsidRDefault="00010291" w:rsidP="00010291">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GB/T 5849-</w:t>
      </w:r>
      <w:r>
        <w:rPr>
          <w:rFonts w:ascii="Times New Roman" w:hAnsi="Times New Roman" w:cs="Arial"/>
          <w:color w:val="333333"/>
          <w:sz w:val="24"/>
          <w:szCs w:val="24"/>
        </w:rPr>
        <w:t>2016</w:t>
      </w:r>
      <w:r>
        <w:rPr>
          <w:rFonts w:ascii="Times New Roman" w:hAnsi="Times New Roman" w:cs="Arial"/>
          <w:i/>
          <w:iCs/>
          <w:color w:val="333333"/>
          <w:sz w:val="24"/>
          <w:szCs w:val="24"/>
        </w:rPr>
        <w:t xml:space="preserve"> Blockboard</w:t>
      </w:r>
    </w:p>
    <w:p w:rsidR="00010291" w:rsidRDefault="00010291" w:rsidP="00010291">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 xml:space="preserve">GB 18580 </w:t>
      </w:r>
      <w:r>
        <w:rPr>
          <w:rFonts w:ascii="Times New Roman" w:hAnsi="Times New Roman" w:cs="Arial"/>
          <w:color w:val="333333"/>
          <w:sz w:val="24"/>
          <w:szCs w:val="24"/>
        </w:rPr>
        <w:t>Limit</w:t>
      </w:r>
      <w:r>
        <w:rPr>
          <w:rFonts w:ascii="Times New Roman" w:hAnsi="Times New Roman" w:cs="Arial"/>
          <w:i/>
          <w:iCs/>
          <w:color w:val="333333"/>
          <w:sz w:val="24"/>
          <w:szCs w:val="24"/>
        </w:rPr>
        <w:t xml:space="preserve"> of Formaldehyde Emission of Wood-based Panels and Relevant </w:t>
      </w:r>
      <w:r>
        <w:rPr>
          <w:rFonts w:ascii="Times New Roman" w:hAnsi="Times New Roman" w:cs="Arial" w:hint="eastAsia"/>
          <w:i/>
          <w:iCs/>
          <w:color w:val="333333"/>
          <w:sz w:val="24"/>
          <w:szCs w:val="24"/>
        </w:rPr>
        <w:t>P</w:t>
      </w:r>
      <w:r>
        <w:rPr>
          <w:rFonts w:ascii="Times New Roman" w:hAnsi="Times New Roman" w:cs="Arial"/>
          <w:i/>
          <w:iCs/>
          <w:color w:val="333333"/>
          <w:sz w:val="24"/>
          <w:szCs w:val="24"/>
        </w:rPr>
        <w:t>roducts of Indoor Decorating and Refurbishing Materials</w:t>
      </w:r>
    </w:p>
    <w:p w:rsidR="00010291" w:rsidRDefault="00010291" w:rsidP="00010291">
      <w:pPr>
        <w:pStyle w:val="a7"/>
        <w:widowControl/>
        <w:numPr>
          <w:ilvl w:val="0"/>
          <w:numId w:val="5"/>
        </w:numPr>
        <w:shd w:val="clear" w:color="auto" w:fill="FFFFFF"/>
        <w:snapToGrid w:val="0"/>
        <w:spacing w:after="200" w:line="288" w:lineRule="auto"/>
        <w:ind w:left="567" w:firstLineChars="0" w:hanging="567"/>
        <w:rPr>
          <w:rFonts w:ascii="Times New Roman" w:hAnsi="Arial" w:cs="Arial"/>
          <w:b/>
          <w:bCs/>
          <w:color w:val="333333"/>
          <w:kern w:val="0"/>
          <w:sz w:val="24"/>
          <w:szCs w:val="24"/>
        </w:rPr>
      </w:pPr>
      <w:r>
        <w:rPr>
          <w:rFonts w:ascii="Times New Roman" w:hAnsi="Arial" w:cs="Arial"/>
          <w:b/>
          <w:bCs/>
          <w:color w:val="333333"/>
          <w:kern w:val="0"/>
          <w:sz w:val="24"/>
          <w:szCs w:val="24"/>
        </w:rPr>
        <w:t>Terms and definitions</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Arial" w:cs="Arial"/>
          <w:color w:val="333333"/>
          <w:kern w:val="0"/>
          <w:sz w:val="24"/>
          <w:szCs w:val="24"/>
        </w:rPr>
      </w:pPr>
      <w:r>
        <w:rPr>
          <w:rFonts w:ascii="Times New Roman" w:hAnsi="Arial" w:cs="Arial"/>
          <w:i/>
          <w:iCs/>
          <w:color w:val="333333"/>
          <w:kern w:val="0"/>
          <w:sz w:val="24"/>
          <w:szCs w:val="24"/>
        </w:rPr>
        <w:t>Re-manufactured decorative veneer (commonly known as technical veneer)</w:t>
      </w:r>
      <w:r>
        <w:rPr>
          <w:rFonts w:ascii="Times New Roman" w:hAnsi="Arial" w:cs="Arial"/>
          <w:color w:val="333333"/>
          <w:kern w:val="0"/>
          <w:sz w:val="24"/>
          <w:szCs w:val="24"/>
        </w:rPr>
        <w:t xml:space="preserve">: the veneer produced from rotary-cutting veneer or sliced veneer as the main raw material, with veneer toning, layering and glue synthesis to make wood beam, and then slicing, rotary-cutting or sawing. </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Arial" w:cs="Arial"/>
          <w:color w:val="333333"/>
          <w:kern w:val="0"/>
          <w:sz w:val="24"/>
          <w:szCs w:val="24"/>
        </w:rPr>
      </w:pPr>
      <w:r>
        <w:rPr>
          <w:rFonts w:ascii="Times New Roman" w:hAnsi="Arial" w:cs="Arial"/>
          <w:i/>
          <w:iCs/>
          <w:color w:val="333333"/>
          <w:kern w:val="0"/>
          <w:sz w:val="24"/>
          <w:szCs w:val="24"/>
        </w:rPr>
        <w:t>Blockboard</w:t>
      </w:r>
      <w:r>
        <w:rPr>
          <w:rFonts w:ascii="Times New Roman" w:hAnsi="Arial" w:cs="Arial"/>
          <w:color w:val="333333"/>
          <w:kern w:val="0"/>
          <w:sz w:val="24"/>
          <w:szCs w:val="24"/>
        </w:rPr>
        <w:t>: A wood-based panel consisting of wood strips in the direction of the grain and glued on both sides with veneer or plywood. The panel can use re-manufactured decorative veneer.</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Arial" w:cs="Arial" w:hint="eastAsia"/>
          <w:color w:val="333333"/>
          <w:kern w:val="0"/>
          <w:sz w:val="24"/>
          <w:szCs w:val="24"/>
        </w:rPr>
        <w:t>O</w:t>
      </w:r>
      <w:r>
        <w:rPr>
          <w:rFonts w:ascii="Times New Roman" w:hAnsi="Arial" w:cs="Arial"/>
          <w:color w:val="333333"/>
          <w:kern w:val="0"/>
          <w:sz w:val="24"/>
          <w:szCs w:val="24"/>
        </w:rPr>
        <w:t xml:space="preserve">ther terms and definitions: </w:t>
      </w:r>
      <w:r>
        <w:rPr>
          <w:rFonts w:ascii="Times New Roman" w:hAnsi="Times New Roman" w:cs="Arial"/>
          <w:color w:val="333333"/>
          <w:kern w:val="0"/>
          <w:sz w:val="24"/>
          <w:szCs w:val="24"/>
        </w:rPr>
        <w:t>subject to GB/T 5849-2016.</w:t>
      </w:r>
    </w:p>
    <w:p w:rsidR="00010291" w:rsidRDefault="00010291" w:rsidP="00010291">
      <w:pPr>
        <w:pStyle w:val="a7"/>
        <w:widowControl/>
        <w:numPr>
          <w:ilvl w:val="0"/>
          <w:numId w:val="5"/>
        </w:numPr>
        <w:shd w:val="clear" w:color="auto" w:fill="FFFFFF"/>
        <w:snapToGrid w:val="0"/>
        <w:spacing w:after="200" w:line="288" w:lineRule="auto"/>
        <w:ind w:left="567" w:firstLineChars="0" w:hanging="567"/>
        <w:rPr>
          <w:rFonts w:ascii="Times New Roman" w:hAnsi="Arial" w:cs="Arial"/>
          <w:b/>
          <w:bCs/>
          <w:color w:val="333333"/>
          <w:kern w:val="0"/>
          <w:sz w:val="24"/>
          <w:szCs w:val="24"/>
        </w:rPr>
      </w:pPr>
      <w:r>
        <w:rPr>
          <w:rFonts w:ascii="Times New Roman" w:hAnsi="Arial" w:cs="Arial"/>
          <w:b/>
          <w:bCs/>
          <w:color w:val="333333"/>
          <w:kern w:val="0"/>
          <w:sz w:val="24"/>
          <w:szCs w:val="24"/>
        </w:rPr>
        <w:t>Quality Requirements</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Appearance quality</w:t>
      </w:r>
    </w:p>
    <w:p w:rsidR="00010291" w:rsidRDefault="00010291" w:rsidP="00010291">
      <w:pPr>
        <w:pStyle w:val="a7"/>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The specific requirements for double-sided sanding, panel and rear panel are as follows:</w:t>
      </w:r>
    </w:p>
    <w:tbl>
      <w:tblPr>
        <w:tblW w:w="10641" w:type="dxa"/>
        <w:jc w:val="center"/>
        <w:tblLayout w:type="fixed"/>
        <w:tblLook w:val="04A0" w:firstRow="1" w:lastRow="0" w:firstColumn="1" w:lastColumn="0" w:noHBand="0" w:noVBand="1"/>
      </w:tblPr>
      <w:tblGrid>
        <w:gridCol w:w="3114"/>
        <w:gridCol w:w="1960"/>
        <w:gridCol w:w="126"/>
        <w:gridCol w:w="2464"/>
        <w:gridCol w:w="2977"/>
      </w:tblGrid>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lastRenderedPageBreak/>
              <w:t>Quality Defect</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Inspection Item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Requirement</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 Live knot</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diameter/mm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25</w:t>
            </w:r>
          </w:p>
        </w:tc>
      </w:tr>
      <w:tr w:rsidR="00010291" w:rsidTr="00010291">
        <w:trPr>
          <w:trHeight w:val="293"/>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(2) Partial intergrown knot, dead knot and bark pocket</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Total number on the panel per square metre</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4</w:t>
            </w:r>
          </w:p>
        </w:tc>
      </w:tr>
      <w:tr w:rsidR="00010291" w:rsidTr="00010291">
        <w:trPr>
          <w:trHeight w:val="293"/>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1960"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Partial intergrown knot</w:t>
            </w:r>
          </w:p>
        </w:tc>
        <w:tc>
          <w:tcPr>
            <w:tcW w:w="2590" w:type="dxa"/>
            <w:gridSpan w:val="2"/>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diameter/mm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20 (excluded if less than 5) </w:t>
            </w:r>
          </w:p>
        </w:tc>
      </w:tr>
      <w:tr w:rsidR="00010291" w:rsidTr="00010291">
        <w:trPr>
          <w:trHeight w:val="293"/>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1960"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Dead knot</w:t>
            </w:r>
          </w:p>
        </w:tc>
        <w:tc>
          <w:tcPr>
            <w:tcW w:w="2590" w:type="dxa"/>
            <w:gridSpan w:val="2"/>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diameter/mm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5 (excluded if less than 2)</w:t>
            </w:r>
          </w:p>
        </w:tc>
      </w:tr>
      <w:tr w:rsidR="00010291" w:rsidTr="00010291">
        <w:trPr>
          <w:trHeight w:val="292"/>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1960"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Bark pocket</w:t>
            </w:r>
          </w:p>
        </w:tc>
        <w:tc>
          <w:tcPr>
            <w:tcW w:w="2590" w:type="dxa"/>
            <w:gridSpan w:val="2"/>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length/mm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20 (excluded if less than 5)</w:t>
            </w:r>
          </w:p>
        </w:tc>
      </w:tr>
      <w:tr w:rsidR="00010291" w:rsidTr="00010291">
        <w:trPr>
          <w:trHeight w:val="195"/>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(3) Crack</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Number of strips per meter panel width</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w:t>
            </w:r>
          </w:p>
        </w:tc>
      </w:tr>
      <w:tr w:rsidR="00010291" w:rsidTr="00010291">
        <w:trPr>
          <w:trHeight w:val="195"/>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width/mm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1.5</w:t>
            </w:r>
          </w:p>
        </w:tc>
      </w:tr>
      <w:tr w:rsidR="00010291" w:rsidTr="00010291">
        <w:trPr>
          <w:trHeight w:val="195"/>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Maximum single length is /% panel length </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10</w:t>
            </w:r>
          </w:p>
        </w:tc>
      </w:tr>
      <w:tr w:rsidR="00010291" w:rsidTr="00010291">
        <w:trPr>
          <w:trHeight w:val="578"/>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(4) Wormhole, chain riveting hole and holes</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diameter/mm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4</w:t>
            </w:r>
          </w:p>
        </w:tc>
      </w:tr>
      <w:tr w:rsidR="00010291" w:rsidTr="00010291">
        <w:trPr>
          <w:trHeight w:val="577"/>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Total number on the panel per square metre</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4</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(5) Discolour</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exceeding panel area (%)</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30</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(6) Decay</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allowed</w:t>
            </w:r>
          </w:p>
        </w:tc>
      </w:tr>
      <w:tr w:rsidR="00010291" w:rsidTr="00010291">
        <w:trPr>
          <w:trHeight w:val="195"/>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(7) Dash board splicing seam </w:t>
            </w:r>
            <w:r>
              <w:rPr>
                <w:rFonts w:ascii="Times New Roman" w:hAnsi="Times New Roman" w:cs="Times New Roman"/>
                <w:sz w:val="24"/>
                <w:szCs w:val="24"/>
                <w:vertAlign w:val="superscript"/>
              </w:rPr>
              <w:t>1</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width/mm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0.5</w:t>
            </w:r>
          </w:p>
        </w:tc>
      </w:tr>
      <w:tr w:rsidR="00010291" w:rsidTr="00010291">
        <w:trPr>
          <w:trHeight w:val="195"/>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Maximum single length is /% panel length </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10</w:t>
            </w:r>
          </w:p>
        </w:tc>
      </w:tr>
      <w:tr w:rsidR="00010291" w:rsidTr="00010291">
        <w:trPr>
          <w:trHeight w:val="195"/>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Number of strips per meter panel width </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w:t>
            </w:r>
          </w:p>
        </w:tc>
      </w:tr>
      <w:tr w:rsidR="00010291" w:rsidTr="00010291">
        <w:trPr>
          <w:trHeight w:val="293"/>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(8) Dash board lamination</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width/mm</w:t>
            </w:r>
          </w:p>
        </w:tc>
        <w:tc>
          <w:tcPr>
            <w:tcW w:w="2977" w:type="dxa"/>
            <w:vMerge w:val="restart"/>
            <w:tcBorders>
              <w:top w:val="nil"/>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allowed</w:t>
            </w:r>
          </w:p>
        </w:tc>
      </w:tr>
      <w:tr w:rsidR="00010291" w:rsidTr="00010291">
        <w:trPr>
          <w:trHeight w:val="292"/>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Maximum single length is /% panel length </w:t>
            </w:r>
          </w:p>
        </w:tc>
        <w:tc>
          <w:tcPr>
            <w:tcW w:w="2977" w:type="dxa"/>
            <w:vMerge/>
            <w:tcBorders>
              <w:top w:val="nil"/>
              <w:left w:val="nil"/>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r>
      <w:tr w:rsidR="00010291" w:rsidTr="00010291">
        <w:trPr>
          <w:trHeight w:val="823"/>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(9) Core veneer cladding</w:t>
            </w:r>
          </w:p>
        </w:tc>
        <w:tc>
          <w:tcPr>
            <w:tcW w:w="2086" w:type="dxa"/>
            <w:gridSpan w:val="2"/>
            <w:vMerge w:val="restart"/>
            <w:tcBorders>
              <w:top w:val="nil"/>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Cladding of core veneer attached to dash board</w:t>
            </w:r>
          </w:p>
        </w:tc>
        <w:tc>
          <w:tcPr>
            <w:tcW w:w="2464"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width/ 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2</w:t>
            </w:r>
          </w:p>
        </w:tc>
      </w:tr>
      <w:tr w:rsidR="00010291" w:rsidTr="00010291">
        <w:trPr>
          <w:trHeight w:val="292"/>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7140" w:type="dxa"/>
            <w:gridSpan w:val="2"/>
            <w:vMerge/>
            <w:tcBorders>
              <w:top w:val="nil"/>
              <w:left w:val="nil"/>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2464"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Number of strips per meter panel length </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2</w:t>
            </w:r>
          </w:p>
        </w:tc>
      </w:tr>
      <w:tr w:rsidR="00010291" w:rsidTr="00010291">
        <w:trPr>
          <w:trHeight w:val="292"/>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width between seams in other layers/mm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10</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(10) Bubbling, lamination</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allowed</w:t>
            </w:r>
          </w:p>
        </w:tc>
      </w:tr>
      <w:tr w:rsidR="00010291" w:rsidTr="00010291">
        <w:trPr>
          <w:trHeight w:val="578"/>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(11) Depression, impression and bulge</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Maximum single area /mm</w:t>
            </w:r>
            <w:r>
              <w:rPr>
                <w:rFonts w:ascii="Times New Roman" w:hAnsi="Times New Roman" w:cs="Times New Roman"/>
                <w:sz w:val="24"/>
                <w:szCs w:val="24"/>
                <w:vertAlign w:val="superscript"/>
              </w:rPr>
              <w:t>2</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50</w:t>
            </w:r>
          </w:p>
        </w:tc>
      </w:tr>
      <w:tr w:rsidR="00010291" w:rsidTr="00010291">
        <w:trPr>
          <w:trHeight w:val="577"/>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Total number on the panel per square metre</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w:t>
            </w:r>
          </w:p>
        </w:tc>
      </w:tr>
      <w:tr w:rsidR="00010291" w:rsidTr="00010291">
        <w:trPr>
          <w:trHeight w:val="293"/>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(12) Torn grain</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exceeding /% panel area</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w:t>
            </w:r>
          </w:p>
        </w:tc>
      </w:tr>
      <w:tr w:rsidR="00010291" w:rsidTr="00010291">
        <w:trPr>
          <w:trHeight w:val="292"/>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Depth</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Penetration not allowed</w:t>
            </w:r>
          </w:p>
        </w:tc>
      </w:tr>
      <w:tr w:rsidR="00010291" w:rsidTr="00010291">
        <w:trPr>
          <w:trHeight w:val="258"/>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(13) Dash board sand permeability</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exceeding /mm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on the panel per square metre</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allowed</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(14) Glue penetration and other man-made pollution </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exceeding /% panel area</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0.5</w:t>
            </w:r>
          </w:p>
        </w:tc>
      </w:tr>
      <w:tr w:rsidR="00010291" w:rsidTr="00010291">
        <w:trPr>
          <w:trHeight w:val="195"/>
          <w:jc w:val="center"/>
        </w:trPr>
        <w:tc>
          <w:tcPr>
            <w:tcW w:w="3114" w:type="dxa"/>
            <w:vMerge w:val="restart"/>
            <w:tcBorders>
              <w:top w:val="nil"/>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(15) Sticking patch, strip patch</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Total number of sticking patches or strip patches appropriately made and firmly filled on the panel per square metre</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3</w:t>
            </w:r>
          </w:p>
        </w:tc>
      </w:tr>
      <w:tr w:rsidR="00010291" w:rsidTr="00010291">
        <w:trPr>
          <w:trHeight w:val="195"/>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exceeding /% panel area</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0.5</w:t>
            </w:r>
          </w:p>
        </w:tc>
      </w:tr>
      <w:tr w:rsidR="00010291" w:rsidTr="00010291">
        <w:trPr>
          <w:trHeight w:val="195"/>
          <w:jc w:val="center"/>
        </w:trPr>
        <w:tc>
          <w:tcPr>
            <w:tcW w:w="10641" w:type="dxa"/>
            <w:vMerge/>
            <w:tcBorders>
              <w:top w:val="nil"/>
              <w:left w:val="single" w:sz="4" w:space="0" w:color="000000"/>
              <w:bottom w:val="single" w:sz="4" w:space="0" w:color="000000"/>
              <w:right w:val="single" w:sz="4" w:space="0" w:color="000000"/>
            </w:tcBorders>
            <w:vAlign w:val="center"/>
            <w:hideMark/>
          </w:tcPr>
          <w:p w:rsidR="00010291" w:rsidRDefault="00010291">
            <w:pPr>
              <w:jc w:val="left"/>
              <w:rPr>
                <w:rFonts w:ascii="Times New Roman" w:hAnsi="Times New Roman" w:cs="Times New Roman"/>
                <w:sz w:val="24"/>
                <w:szCs w:val="24"/>
              </w:rPr>
            </w:pP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Gap not more than/mm</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0.5</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(16) Aluminium staples contained</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allowed</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(17) Board edge defect</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more than /mm in the basic breadth</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Not allowed</w:t>
            </w:r>
          </w:p>
        </w:tc>
      </w:tr>
      <w:tr w:rsidR="00010291" w:rsidTr="00010291">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(18) Other defects</w:t>
            </w:r>
          </w:p>
        </w:tc>
        <w:tc>
          <w:tcPr>
            <w:tcW w:w="4550" w:type="dxa"/>
            <w:gridSpan w:val="3"/>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w:t>
            </w:r>
          </w:p>
        </w:tc>
        <w:tc>
          <w:tcPr>
            <w:tcW w:w="2977"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Considered based on the most similar defects</w:t>
            </w:r>
          </w:p>
        </w:tc>
      </w:tr>
      <w:tr w:rsidR="00010291" w:rsidTr="00010291">
        <w:trPr>
          <w:jc w:val="center"/>
        </w:trPr>
        <w:tc>
          <w:tcPr>
            <w:tcW w:w="10641" w:type="dxa"/>
            <w:gridSpan w:val="5"/>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1. The dash board splicing seam shall be a seam visible to the naked eye.</w:t>
            </w:r>
          </w:p>
        </w:tc>
      </w:tr>
    </w:tbl>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 </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Specification, dimension and deviation</w:t>
      </w:r>
    </w:p>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4.2.1  Width and </w:t>
      </w:r>
      <w:r>
        <w:rPr>
          <w:rFonts w:ascii="Times New Roman" w:hAnsi="Times New Roman" w:cs="Arial" w:hint="eastAsia"/>
          <w:color w:val="333333"/>
          <w:sz w:val="24"/>
          <w:szCs w:val="24"/>
        </w:rPr>
        <w:t>leng</w:t>
      </w:r>
      <w:r>
        <w:rPr>
          <w:rFonts w:ascii="Times New Roman" w:hAnsi="Times New Roman" w:cs="Arial"/>
          <w:color w:val="333333"/>
          <w:sz w:val="24"/>
          <w:szCs w:val="24"/>
        </w:rPr>
        <w:t>th (unit: mm</w:t>
      </w:r>
      <w:r>
        <w:rPr>
          <w:rFonts w:ascii="Times New Roman" w:hAnsi="Times New Roman" w:cs="Arial" w:hint="eastAsia"/>
          <w:color w:val="33333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563"/>
        <w:gridCol w:w="1403"/>
      </w:tblGrid>
      <w:tr w:rsidR="00010291" w:rsidTr="00010291">
        <w:tc>
          <w:tcPr>
            <w:tcW w:w="0" w:type="auto"/>
            <w:tcBorders>
              <w:top w:val="single" w:sz="4" w:space="0" w:color="auto"/>
              <w:left w:val="single" w:sz="4" w:space="0" w:color="auto"/>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Item</w:t>
            </w:r>
          </w:p>
        </w:tc>
        <w:tc>
          <w:tcPr>
            <w:tcW w:w="0" w:type="auto"/>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Requirement</w:t>
            </w:r>
          </w:p>
        </w:tc>
        <w:tc>
          <w:tcPr>
            <w:tcW w:w="0" w:type="auto"/>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Deviation</w:t>
            </w:r>
          </w:p>
        </w:tc>
      </w:tr>
      <w:tr w:rsidR="00010291" w:rsidTr="00010291">
        <w:tc>
          <w:tcPr>
            <w:tcW w:w="0" w:type="auto"/>
            <w:tcBorders>
              <w:top w:val="single" w:sz="4" w:space="0" w:color="auto"/>
              <w:left w:val="single" w:sz="4" w:space="0" w:color="auto"/>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Width</w:t>
            </w:r>
          </w:p>
        </w:tc>
        <w:tc>
          <w:tcPr>
            <w:tcW w:w="0" w:type="auto"/>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1,220</w:t>
            </w:r>
          </w:p>
        </w:tc>
        <w:tc>
          <w:tcPr>
            <w:tcW w:w="0" w:type="auto"/>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 xml:space="preserve">0 </w:t>
            </w:r>
            <w:r>
              <w:rPr>
                <w:rFonts w:ascii="Times New Roman" w:hAnsi="Times New Roman" w:cs="Arial" w:hint="eastAsia"/>
                <w:color w:val="333333"/>
                <w:sz w:val="24"/>
                <w:szCs w:val="24"/>
              </w:rPr>
              <w:t>and</w:t>
            </w:r>
            <w:r>
              <w:rPr>
                <w:rFonts w:ascii="Times New Roman" w:hAnsi="Times New Roman" w:cs="Arial"/>
                <w:color w:val="333333"/>
                <w:sz w:val="24"/>
                <w:szCs w:val="24"/>
              </w:rPr>
              <w:t> </w:t>
            </w:r>
            <w:r>
              <w:rPr>
                <w:rFonts w:ascii="Times New Roman" w:hAnsi="Times New Roman" w:cs="Arial" w:hint="eastAsia"/>
                <w:color w:val="333333"/>
                <w:sz w:val="24"/>
                <w:szCs w:val="24"/>
              </w:rPr>
              <w:t>≤</w:t>
            </w:r>
            <w:r>
              <w:rPr>
                <w:rFonts w:ascii="Times New Roman" w:hAnsi="Times New Roman" w:cs="Arial"/>
                <w:color w:val="333333"/>
                <w:sz w:val="24"/>
                <w:szCs w:val="24"/>
              </w:rPr>
              <w:t>5</w:t>
            </w:r>
          </w:p>
        </w:tc>
      </w:tr>
      <w:tr w:rsidR="00010291" w:rsidTr="00010291">
        <w:tc>
          <w:tcPr>
            <w:tcW w:w="0" w:type="auto"/>
            <w:tcBorders>
              <w:top w:val="single" w:sz="4" w:space="0" w:color="auto"/>
              <w:left w:val="single" w:sz="4" w:space="0" w:color="auto"/>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Length</w:t>
            </w:r>
          </w:p>
        </w:tc>
        <w:tc>
          <w:tcPr>
            <w:tcW w:w="0" w:type="auto"/>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2,440</w:t>
            </w:r>
          </w:p>
        </w:tc>
        <w:tc>
          <w:tcPr>
            <w:tcW w:w="0" w:type="auto"/>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 xml:space="preserve">0 </w:t>
            </w:r>
            <w:r>
              <w:rPr>
                <w:rFonts w:ascii="Times New Roman" w:hAnsi="Times New Roman" w:cs="Arial" w:hint="eastAsia"/>
                <w:color w:val="333333"/>
                <w:sz w:val="24"/>
                <w:szCs w:val="24"/>
              </w:rPr>
              <w:t>and</w:t>
            </w:r>
            <w:r>
              <w:rPr>
                <w:rFonts w:ascii="Times New Roman" w:hAnsi="Times New Roman" w:cs="Arial"/>
                <w:color w:val="333333"/>
                <w:sz w:val="24"/>
                <w:szCs w:val="24"/>
              </w:rPr>
              <w:t> </w:t>
            </w:r>
            <w:r>
              <w:rPr>
                <w:rFonts w:ascii="Times New Roman" w:hAnsi="Times New Roman" w:cs="Arial" w:hint="eastAsia"/>
                <w:color w:val="333333"/>
                <w:sz w:val="24"/>
                <w:szCs w:val="24"/>
              </w:rPr>
              <w:t>≤</w:t>
            </w:r>
            <w:r>
              <w:rPr>
                <w:rFonts w:ascii="Times New Roman" w:hAnsi="Times New Roman" w:cs="Arial"/>
                <w:color w:val="333333"/>
                <w:sz w:val="24"/>
                <w:szCs w:val="24"/>
              </w:rPr>
              <w:t>5</w:t>
            </w:r>
          </w:p>
        </w:tc>
      </w:tr>
    </w:tbl>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4</w:t>
      </w:r>
      <w:r>
        <w:rPr>
          <w:rFonts w:ascii="Times New Roman" w:hAnsi="Times New Roman" w:cs="Arial"/>
          <w:color w:val="333333"/>
          <w:sz w:val="24"/>
          <w:szCs w:val="24"/>
        </w:rPr>
        <w:t xml:space="preserve">.2.2  </w:t>
      </w:r>
      <w:r>
        <w:rPr>
          <w:rFonts w:ascii="Times New Roman" w:hAnsi="Times New Roman" w:cs="Arial" w:hint="eastAsia"/>
          <w:color w:val="333333"/>
          <w:sz w:val="24"/>
          <w:szCs w:val="24"/>
        </w:rPr>
        <w:t>Thick</w:t>
      </w:r>
      <w:r>
        <w:rPr>
          <w:rFonts w:ascii="Times New Roman" w:hAnsi="Times New Roman" w:cs="Arial"/>
          <w:color w:val="333333"/>
          <w:sz w:val="24"/>
          <w:szCs w:val="24"/>
        </w:rPr>
        <w:t>ness (unit:mm)</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819"/>
        <w:gridCol w:w="1908"/>
        <w:gridCol w:w="3054"/>
      </w:tblGrid>
      <w:tr w:rsidR="00010291" w:rsidTr="00010291">
        <w:tc>
          <w:tcPr>
            <w:tcW w:w="1578" w:type="dxa"/>
            <w:tcBorders>
              <w:top w:val="single" w:sz="4" w:space="0" w:color="auto"/>
              <w:left w:val="single" w:sz="4" w:space="0" w:color="auto"/>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Item</w:t>
            </w:r>
          </w:p>
        </w:tc>
        <w:tc>
          <w:tcPr>
            <w:tcW w:w="1819" w:type="dxa"/>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Requirement</w:t>
            </w:r>
          </w:p>
        </w:tc>
        <w:tc>
          <w:tcPr>
            <w:tcW w:w="1908" w:type="dxa"/>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Deviation</w:t>
            </w:r>
          </w:p>
        </w:tc>
        <w:tc>
          <w:tcPr>
            <w:tcW w:w="3054" w:type="dxa"/>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Tolerance</w:t>
            </w:r>
          </w:p>
        </w:tc>
      </w:tr>
      <w:tr w:rsidR="00010291" w:rsidTr="00010291">
        <w:tc>
          <w:tcPr>
            <w:tcW w:w="1578" w:type="dxa"/>
            <w:tcBorders>
              <w:top w:val="single" w:sz="4" w:space="0" w:color="auto"/>
              <w:left w:val="single" w:sz="4" w:space="0" w:color="auto"/>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Thickness</w:t>
            </w:r>
          </w:p>
        </w:tc>
        <w:tc>
          <w:tcPr>
            <w:tcW w:w="1819" w:type="dxa"/>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17</w:t>
            </w:r>
          </w:p>
        </w:tc>
        <w:tc>
          <w:tcPr>
            <w:tcW w:w="1908" w:type="dxa"/>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 xml:space="preserve">0.6 </w:t>
            </w:r>
            <w:r>
              <w:rPr>
                <w:rFonts w:ascii="Times New Roman" w:hAnsi="Times New Roman" w:cs="Arial" w:hint="eastAsia"/>
                <w:color w:val="333333"/>
                <w:sz w:val="24"/>
                <w:szCs w:val="24"/>
              </w:rPr>
              <w:t>and</w:t>
            </w:r>
            <w:r>
              <w:rPr>
                <w:rFonts w:ascii="Times New Roman" w:hAnsi="Times New Roman" w:cs="Arial"/>
                <w:color w:val="333333"/>
                <w:sz w:val="24"/>
                <w:szCs w:val="24"/>
              </w:rPr>
              <w:t> </w:t>
            </w:r>
            <w:r>
              <w:rPr>
                <w:rFonts w:ascii="Times New Roman" w:hAnsi="Times New Roman" w:cs="Arial" w:hint="eastAsia"/>
                <w:color w:val="333333"/>
                <w:sz w:val="24"/>
                <w:szCs w:val="24"/>
              </w:rPr>
              <w:t>≤</w:t>
            </w:r>
            <w:r>
              <w:rPr>
                <w:rFonts w:ascii="Times New Roman" w:hAnsi="Times New Roman" w:cs="Arial"/>
                <w:color w:val="333333"/>
                <w:sz w:val="24"/>
                <w:szCs w:val="24"/>
              </w:rPr>
              <w:t>0.6</w:t>
            </w:r>
          </w:p>
        </w:tc>
        <w:tc>
          <w:tcPr>
            <w:tcW w:w="3054" w:type="dxa"/>
            <w:tcBorders>
              <w:top w:val="single" w:sz="4" w:space="0" w:color="auto"/>
              <w:left w:val="nil"/>
              <w:bottom w:val="single" w:sz="4" w:space="0" w:color="auto"/>
              <w:right w:val="single" w:sz="4" w:space="0" w:color="auto"/>
            </w:tcBorders>
            <w:hideMark/>
          </w:tcPr>
          <w:p w:rsidR="00010291" w:rsidRDefault="00010291">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Thickness tolerance of each board </w:t>
            </w:r>
            <w:r>
              <w:rPr>
                <w:rFonts w:ascii="Times New Roman" w:hAnsi="Times New Roman" w:cs="Arial" w:hint="eastAsia"/>
                <w:color w:val="333333"/>
                <w:sz w:val="24"/>
                <w:szCs w:val="24"/>
              </w:rPr>
              <w:t>≤</w:t>
            </w:r>
            <w:r>
              <w:rPr>
                <w:rFonts w:ascii="Times New Roman" w:hAnsi="Times New Roman" w:cs="Times New Roman" w:hint="eastAsia"/>
                <w:color w:val="333333"/>
                <w:sz w:val="24"/>
                <w:szCs w:val="24"/>
              </w:rPr>
              <w:t>0</w:t>
            </w:r>
            <w:r>
              <w:rPr>
                <w:rFonts w:ascii="Times New Roman" w:hAnsi="Times New Roman" w:cs="Arial"/>
                <w:color w:val="333333"/>
                <w:sz w:val="24"/>
                <w:szCs w:val="24"/>
              </w:rPr>
              <w:t>.8</w:t>
            </w:r>
          </w:p>
        </w:tc>
      </w:tr>
    </w:tbl>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4</w:t>
      </w:r>
      <w:r>
        <w:rPr>
          <w:rFonts w:ascii="Times New Roman" w:hAnsi="Times New Roman" w:cs="Arial"/>
          <w:color w:val="333333"/>
          <w:sz w:val="24"/>
          <w:szCs w:val="24"/>
        </w:rPr>
        <w:t xml:space="preserve">.2.3  Other </w:t>
      </w:r>
      <w:r>
        <w:rPr>
          <w:rFonts w:ascii="Times New Roman" w:hAnsi="Times New Roman" w:cs="Arial" w:hint="eastAsia"/>
          <w:color w:val="333333"/>
          <w:sz w:val="24"/>
          <w:szCs w:val="24"/>
        </w:rPr>
        <w:t>re</w:t>
      </w:r>
      <w:r>
        <w:rPr>
          <w:rFonts w:ascii="Times New Roman" w:hAnsi="Times New Roman" w:cs="Arial"/>
          <w:color w:val="333333"/>
          <w:sz w:val="24"/>
          <w:szCs w:val="24"/>
        </w:rPr>
        <w:t>quirements</w:t>
      </w:r>
    </w:p>
    <w:tbl>
      <w:tblPr>
        <w:tblW w:w="8385" w:type="dxa"/>
        <w:jc w:val="center"/>
        <w:tblLayout w:type="fixed"/>
        <w:tblLook w:val="04A0" w:firstRow="1" w:lastRow="0" w:firstColumn="1" w:lastColumn="0" w:noHBand="0" w:noVBand="1"/>
      </w:tblPr>
      <w:tblGrid>
        <w:gridCol w:w="2239"/>
        <w:gridCol w:w="6146"/>
      </w:tblGrid>
      <w:tr w:rsidR="00010291" w:rsidTr="00010291">
        <w:trPr>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Index</w:t>
            </w:r>
          </w:p>
        </w:tc>
        <w:tc>
          <w:tcPr>
            <w:tcW w:w="6146"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Requirement</w:t>
            </w:r>
          </w:p>
        </w:tc>
      </w:tr>
      <w:tr w:rsidR="00010291" w:rsidTr="00010291">
        <w:trPr>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Verticality</w:t>
            </w:r>
          </w:p>
        </w:tc>
        <w:tc>
          <w:tcPr>
            <w:tcW w:w="6146"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≤1.0mm/m</w:t>
            </w:r>
          </w:p>
        </w:tc>
      </w:tr>
      <w:tr w:rsidR="00010291" w:rsidTr="00010291">
        <w:trPr>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lastRenderedPageBreak/>
              <w:t>Edge straightness</w:t>
            </w:r>
          </w:p>
        </w:tc>
        <w:tc>
          <w:tcPr>
            <w:tcW w:w="6146"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≤1.0mm/m</w:t>
            </w:r>
          </w:p>
        </w:tc>
      </w:tr>
      <w:tr w:rsidR="00010291" w:rsidTr="00010291">
        <w:trPr>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Flatness</w:t>
            </w:r>
          </w:p>
        </w:tc>
        <w:tc>
          <w:tcPr>
            <w:tcW w:w="6146"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Deviation≤10mm</w:t>
            </w:r>
          </w:p>
        </w:tc>
      </w:tr>
      <w:tr w:rsidR="00010291" w:rsidTr="00010291">
        <w:trPr>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Waveness</w:t>
            </w:r>
          </w:p>
        </w:tc>
        <w:tc>
          <w:tcPr>
            <w:tcW w:w="6146"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≤0.3mm</w:t>
            </w:r>
          </w:p>
        </w:tc>
      </w:tr>
    </w:tbl>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 </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hint="eastAsia"/>
          <w:color w:val="333333"/>
          <w:kern w:val="0"/>
          <w:sz w:val="24"/>
          <w:szCs w:val="24"/>
        </w:rPr>
        <w:t>Board</w:t>
      </w:r>
      <w:r>
        <w:rPr>
          <w:rFonts w:ascii="Times New Roman" w:hAnsi="Times New Roman" w:cs="Arial"/>
          <w:color w:val="333333"/>
          <w:kern w:val="0"/>
          <w:sz w:val="24"/>
          <w:szCs w:val="24"/>
        </w:rPr>
        <w:t xml:space="preserve"> core quality</w:t>
      </w:r>
    </w:p>
    <w:tbl>
      <w:tblPr>
        <w:tblW w:w="8359" w:type="dxa"/>
        <w:jc w:val="center"/>
        <w:tblLayout w:type="fixed"/>
        <w:tblLook w:val="04A0" w:firstRow="1" w:lastRow="0" w:firstColumn="1" w:lastColumn="0" w:noHBand="0" w:noVBand="1"/>
      </w:tblPr>
      <w:tblGrid>
        <w:gridCol w:w="2410"/>
        <w:gridCol w:w="5949"/>
      </w:tblGrid>
      <w:tr w:rsidR="00010291" w:rsidTr="00010291">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Item</w:t>
            </w:r>
          </w:p>
        </w:tc>
        <w:tc>
          <w:tcPr>
            <w:tcW w:w="5949"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Requirement</w:t>
            </w:r>
          </w:p>
        </w:tc>
      </w:tr>
      <w:tr w:rsidR="00010291" w:rsidTr="00010291">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Space between joints of the adjacent core strips</w:t>
            </w:r>
          </w:p>
        </w:tc>
        <w:tc>
          <w:tcPr>
            <w:tcW w:w="5949"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The distance between the joints of both ends of the two adjacent rows of core strips along the length of the board </w:t>
            </w:r>
            <w:r>
              <w:rPr>
                <w:rFonts w:ascii="Times New Roman" w:hAnsi="Times New Roman" w:hint="eastAsia"/>
                <w:sz w:val="24"/>
                <w:szCs w:val="24"/>
              </w:rPr>
              <w:t>≥</w:t>
            </w:r>
            <w:r>
              <w:rPr>
                <w:rFonts w:ascii="Times New Roman" w:hAnsi="Times New Roman" w:cs="Times New Roman"/>
                <w:sz w:val="24"/>
                <w:szCs w:val="24"/>
              </w:rPr>
              <w:t xml:space="preserve"> 50mm</w:t>
            </w:r>
          </w:p>
        </w:tc>
      </w:tr>
      <w:tr w:rsidR="00010291" w:rsidTr="00010291">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 xml:space="preserve">Flakiness ratio of core strips </w:t>
            </w:r>
          </w:p>
        </w:tc>
        <w:tc>
          <w:tcPr>
            <w:tcW w:w="5949"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hint="eastAsia"/>
                <w:sz w:val="24"/>
                <w:szCs w:val="24"/>
              </w:rPr>
              <w:t>≤</w:t>
            </w:r>
            <w:r>
              <w:rPr>
                <w:rFonts w:ascii="Times New Roman" w:hAnsi="Times New Roman" w:cs="Times New Roman"/>
                <w:sz w:val="24"/>
                <w:szCs w:val="24"/>
              </w:rPr>
              <w:t>5.0</w:t>
            </w:r>
          </w:p>
        </w:tc>
      </w:tr>
      <w:tr w:rsidR="00010291" w:rsidTr="00010291">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Core strip side gap</w:t>
            </w:r>
          </w:p>
        </w:tc>
        <w:tc>
          <w:tcPr>
            <w:tcW w:w="5949"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hint="eastAsia"/>
                <w:sz w:val="24"/>
                <w:szCs w:val="24"/>
              </w:rPr>
              <w:t>≤</w:t>
            </w:r>
            <w:r>
              <w:rPr>
                <w:rFonts w:ascii="Times New Roman" w:hAnsi="Times New Roman" w:cs="Times New Roman"/>
                <w:sz w:val="24"/>
                <w:szCs w:val="24"/>
              </w:rPr>
              <w:t>1mm</w:t>
            </w:r>
          </w:p>
        </w:tc>
      </w:tr>
      <w:tr w:rsidR="00010291" w:rsidTr="00010291">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Core strip end gap</w:t>
            </w:r>
          </w:p>
        </w:tc>
        <w:tc>
          <w:tcPr>
            <w:tcW w:w="5949"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hint="eastAsia"/>
                <w:sz w:val="24"/>
                <w:szCs w:val="24"/>
              </w:rPr>
              <w:t>≤</w:t>
            </w:r>
            <w:r>
              <w:rPr>
                <w:rFonts w:ascii="Times New Roman" w:hAnsi="Times New Roman" w:cs="Times New Roman"/>
                <w:sz w:val="24"/>
                <w:szCs w:val="24"/>
              </w:rPr>
              <w:t>3mm</w:t>
            </w:r>
          </w:p>
        </w:tc>
      </w:tr>
      <w:tr w:rsidR="00010291" w:rsidTr="00010291">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Board core repair</w:t>
            </w:r>
          </w:p>
        </w:tc>
        <w:tc>
          <w:tcPr>
            <w:tcW w:w="5949"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Allow repair with glue using wooden strip, block and veneer</w:t>
            </w:r>
          </w:p>
        </w:tc>
      </w:tr>
    </w:tbl>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 </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Physical and mechanical properties</w:t>
      </w:r>
    </w:p>
    <w:tbl>
      <w:tblPr>
        <w:tblW w:w="8364" w:type="dxa"/>
        <w:tblInd w:w="-5" w:type="dxa"/>
        <w:tblLayout w:type="fixed"/>
        <w:tblLook w:val="04A0" w:firstRow="1" w:lastRow="0" w:firstColumn="1" w:lastColumn="0" w:noHBand="0" w:noVBand="1"/>
      </w:tblPr>
      <w:tblGrid>
        <w:gridCol w:w="2674"/>
        <w:gridCol w:w="1418"/>
        <w:gridCol w:w="4272"/>
      </w:tblGrid>
      <w:tr w:rsidR="00010291" w:rsidTr="00010291">
        <w:tc>
          <w:tcPr>
            <w:tcW w:w="267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Item</w:t>
            </w:r>
          </w:p>
        </w:tc>
        <w:tc>
          <w:tcPr>
            <w:tcW w:w="1418"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Unit</w:t>
            </w:r>
          </w:p>
        </w:tc>
        <w:tc>
          <w:tcPr>
            <w:tcW w:w="4272"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b/>
                <w:bCs/>
                <w:sz w:val="24"/>
                <w:szCs w:val="24"/>
              </w:rPr>
            </w:pPr>
            <w:r>
              <w:rPr>
                <w:rFonts w:ascii="Times New Roman" w:hAnsi="Times New Roman" w:cs="Times New Roman"/>
                <w:b/>
                <w:bCs/>
                <w:sz w:val="24"/>
                <w:szCs w:val="24"/>
              </w:rPr>
              <w:t>Index Value</w:t>
            </w:r>
          </w:p>
        </w:tc>
      </w:tr>
      <w:tr w:rsidR="00010291" w:rsidTr="00010291">
        <w:tc>
          <w:tcPr>
            <w:tcW w:w="267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Moisture content</w:t>
            </w:r>
          </w:p>
        </w:tc>
        <w:tc>
          <w:tcPr>
            <w:tcW w:w="1418"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w:t>
            </w:r>
          </w:p>
        </w:tc>
        <w:tc>
          <w:tcPr>
            <w:tcW w:w="4272"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hint="eastAsia"/>
                <w:sz w:val="24"/>
                <w:szCs w:val="24"/>
              </w:rPr>
              <w:t>≥</w:t>
            </w:r>
            <w:r>
              <w:rPr>
                <w:rFonts w:ascii="Times New Roman" w:hAnsi="Times New Roman" w:cs="Times New Roman"/>
                <w:sz w:val="24"/>
                <w:szCs w:val="24"/>
              </w:rPr>
              <w:t xml:space="preserve">6.0 and </w:t>
            </w:r>
            <w:r>
              <w:rPr>
                <w:rFonts w:ascii="Times New Roman" w:hAnsi="Times New Roman" w:hint="eastAsia"/>
                <w:sz w:val="24"/>
                <w:szCs w:val="24"/>
              </w:rPr>
              <w:t>≤</w:t>
            </w:r>
            <w:r>
              <w:rPr>
                <w:rFonts w:ascii="Times New Roman" w:hAnsi="Times New Roman" w:cs="Times New Roman"/>
                <w:sz w:val="24"/>
                <w:szCs w:val="24"/>
              </w:rPr>
              <w:t>14.0</w:t>
            </w:r>
          </w:p>
        </w:tc>
      </w:tr>
      <w:tr w:rsidR="00010291" w:rsidTr="00010291">
        <w:tc>
          <w:tcPr>
            <w:tcW w:w="267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Transverse static bending strength</w:t>
            </w:r>
          </w:p>
        </w:tc>
        <w:tc>
          <w:tcPr>
            <w:tcW w:w="1418"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MPa</w:t>
            </w:r>
          </w:p>
        </w:tc>
        <w:tc>
          <w:tcPr>
            <w:tcW w:w="4272"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hint="eastAsia"/>
                <w:sz w:val="24"/>
                <w:szCs w:val="24"/>
              </w:rPr>
              <w:t>≥</w:t>
            </w:r>
            <w:r>
              <w:rPr>
                <w:rFonts w:ascii="Times New Roman" w:hAnsi="Times New Roman" w:cs="Times New Roman"/>
                <w:sz w:val="24"/>
                <w:szCs w:val="24"/>
              </w:rPr>
              <w:t>15.0</w:t>
            </w:r>
          </w:p>
        </w:tc>
      </w:tr>
      <w:tr w:rsidR="00010291" w:rsidTr="00010291">
        <w:tc>
          <w:tcPr>
            <w:tcW w:w="267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Impregnation stripping property</w:t>
            </w:r>
          </w:p>
        </w:tc>
        <w:tc>
          <w:tcPr>
            <w:tcW w:w="1418"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mm</w:t>
            </w:r>
          </w:p>
        </w:tc>
        <w:tc>
          <w:tcPr>
            <w:tcW w:w="4272"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The total length of stripping and lamination of each side of each glue liner of the test specimen shall not be more than 25mm.</w:t>
            </w:r>
          </w:p>
        </w:tc>
      </w:tr>
      <w:tr w:rsidR="00010291" w:rsidTr="00010291">
        <w:tc>
          <w:tcPr>
            <w:tcW w:w="2674" w:type="dxa"/>
            <w:tcBorders>
              <w:top w:val="single" w:sz="4" w:space="0" w:color="000000"/>
              <w:left w:val="single" w:sz="4" w:space="0" w:color="000000"/>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Surface bonding strength</w:t>
            </w:r>
          </w:p>
        </w:tc>
        <w:tc>
          <w:tcPr>
            <w:tcW w:w="1418"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cs="Times New Roman"/>
                <w:sz w:val="24"/>
                <w:szCs w:val="24"/>
              </w:rPr>
              <w:t>MPa</w:t>
            </w:r>
          </w:p>
        </w:tc>
        <w:tc>
          <w:tcPr>
            <w:tcW w:w="4272" w:type="dxa"/>
            <w:tcBorders>
              <w:top w:val="single" w:sz="4" w:space="0" w:color="000000"/>
              <w:left w:val="nil"/>
              <w:bottom w:val="single" w:sz="4" w:space="0" w:color="000000"/>
              <w:right w:val="single" w:sz="4" w:space="0" w:color="000000"/>
            </w:tcBorders>
            <w:vAlign w:val="center"/>
            <w:hideMark/>
          </w:tcPr>
          <w:p w:rsidR="00010291" w:rsidRDefault="00010291">
            <w:pPr>
              <w:shd w:val="clear" w:color="auto" w:fill="FFFFFF"/>
              <w:spacing w:line="420" w:lineRule="atLeast"/>
              <w:jc w:val="left"/>
              <w:rPr>
                <w:rFonts w:ascii="Times New Roman" w:hAnsi="Times New Roman" w:cs="Times New Roman"/>
                <w:sz w:val="24"/>
                <w:szCs w:val="24"/>
              </w:rPr>
            </w:pPr>
            <w:r>
              <w:rPr>
                <w:rFonts w:ascii="Times New Roman" w:hAnsi="Times New Roman" w:hint="eastAsia"/>
                <w:sz w:val="24"/>
                <w:szCs w:val="24"/>
              </w:rPr>
              <w:t>≥</w:t>
            </w:r>
            <w:r>
              <w:rPr>
                <w:rFonts w:ascii="Times New Roman" w:hAnsi="Times New Roman" w:cs="Times New Roman"/>
                <w:sz w:val="24"/>
                <w:szCs w:val="24"/>
              </w:rPr>
              <w:t>0.60</w:t>
            </w:r>
          </w:p>
        </w:tc>
      </w:tr>
    </w:tbl>
    <w:p w:rsidR="00010291" w:rsidRDefault="00010291" w:rsidP="00010291">
      <w:pPr>
        <w:shd w:val="clear" w:color="auto" w:fill="FFFFFF"/>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 </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Formaldehyde emission shall be subject to the standards in GB 18580</w:t>
      </w:r>
    </w:p>
    <w:p w:rsidR="00010291" w:rsidRDefault="00010291" w:rsidP="00010291">
      <w:pPr>
        <w:pStyle w:val="a7"/>
        <w:widowControl/>
        <w:numPr>
          <w:ilvl w:val="0"/>
          <w:numId w:val="5"/>
        </w:numPr>
        <w:shd w:val="clear" w:color="auto" w:fill="FFFFFF"/>
        <w:snapToGrid w:val="0"/>
        <w:spacing w:after="200" w:line="288" w:lineRule="auto"/>
        <w:ind w:left="567" w:firstLineChars="0" w:hanging="567"/>
        <w:rPr>
          <w:rFonts w:ascii="Times New Roman" w:hAnsi="Arial" w:cs="Arial"/>
          <w:b/>
          <w:bCs/>
          <w:color w:val="333333"/>
          <w:kern w:val="0"/>
          <w:sz w:val="24"/>
          <w:szCs w:val="24"/>
        </w:rPr>
      </w:pPr>
      <w:r>
        <w:rPr>
          <w:rFonts w:ascii="Times New Roman" w:hAnsi="Arial" w:cs="Arial"/>
          <w:b/>
          <w:bCs/>
          <w:color w:val="333333"/>
          <w:kern w:val="0"/>
          <w:sz w:val="24"/>
          <w:szCs w:val="24"/>
        </w:rPr>
        <w:t>Inspection and determination</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Arial" w:cs="Arial"/>
          <w:color w:val="333333"/>
          <w:kern w:val="0"/>
          <w:sz w:val="24"/>
          <w:szCs w:val="24"/>
        </w:rPr>
      </w:pPr>
      <w:r>
        <w:rPr>
          <w:rFonts w:ascii="Times New Roman" w:hAnsi="Arial" w:cs="Arial"/>
          <w:color w:val="333333"/>
          <w:kern w:val="0"/>
          <w:sz w:val="24"/>
          <w:szCs w:val="24"/>
        </w:rPr>
        <w:lastRenderedPageBreak/>
        <w:t>The inspection method, sampling methods and determination rules for board core quality indexes shall be subject to the relevant requirements of GB/T 5849-2006.</w:t>
      </w:r>
    </w:p>
    <w:p w:rsidR="00010291" w:rsidRDefault="00010291" w:rsidP="00010291">
      <w:pPr>
        <w:pStyle w:val="a7"/>
        <w:widowControl/>
        <w:numPr>
          <w:ilvl w:val="1"/>
          <w:numId w:val="5"/>
        </w:numPr>
        <w:shd w:val="clear" w:color="auto" w:fill="FFFFFF"/>
        <w:snapToGrid w:val="0"/>
        <w:spacing w:after="200" w:line="288" w:lineRule="auto"/>
        <w:ind w:left="567" w:firstLineChars="0"/>
        <w:rPr>
          <w:rFonts w:ascii="Times New Roman" w:hAnsi="Arial" w:cs="Arial"/>
          <w:color w:val="333333"/>
          <w:kern w:val="0"/>
          <w:sz w:val="24"/>
          <w:szCs w:val="24"/>
        </w:rPr>
      </w:pPr>
      <w:r>
        <w:rPr>
          <w:rFonts w:ascii="Times New Roman" w:hAnsi="Arial" w:cs="Arial"/>
          <w:color w:val="333333"/>
          <w:kern w:val="0"/>
          <w:sz w:val="24"/>
          <w:szCs w:val="24"/>
        </w:rPr>
        <w:t>The inspection methods, sampling methods and determination rules for appearance quality, specification, dimension and deviation, physical and mechanical properties and formaldehyde emission shall be subject to the relevant requirements of GB/T 5849-2016.</w:t>
      </w:r>
    </w:p>
    <w:p w:rsidR="00010291" w:rsidRDefault="00010291" w:rsidP="00010291">
      <w:pPr>
        <w:pStyle w:val="a7"/>
        <w:widowControl/>
        <w:numPr>
          <w:ilvl w:val="0"/>
          <w:numId w:val="5"/>
        </w:numPr>
        <w:shd w:val="clear" w:color="auto" w:fill="FFFFFF"/>
        <w:snapToGrid w:val="0"/>
        <w:spacing w:after="200" w:line="288" w:lineRule="auto"/>
        <w:ind w:left="426" w:firstLineChars="0" w:hanging="426"/>
        <w:rPr>
          <w:rFonts w:ascii="Times New Roman" w:hAnsi="Arial" w:cs="Arial"/>
          <w:b/>
          <w:bCs/>
          <w:color w:val="333333"/>
          <w:kern w:val="0"/>
          <w:sz w:val="24"/>
          <w:szCs w:val="24"/>
        </w:rPr>
      </w:pPr>
      <w:r>
        <w:rPr>
          <w:rFonts w:ascii="Times New Roman" w:hAnsi="Arial" w:cs="Arial"/>
          <w:b/>
          <w:bCs/>
          <w:color w:val="333333"/>
          <w:kern w:val="0"/>
          <w:sz w:val="24"/>
          <w:szCs w:val="24"/>
        </w:rPr>
        <w:t>The logo shall be on the side of the products, and the trademark, formaldehyde emission and grade and otherwise shall be clearly and firmly marked. The packaging shall protect the products from collisions, scratches and stains</w:t>
      </w:r>
    </w:p>
    <w:p w:rsidR="00010291" w:rsidRDefault="00010291" w:rsidP="00010291">
      <w:pPr>
        <w:pStyle w:val="a7"/>
        <w:widowControl/>
        <w:numPr>
          <w:ilvl w:val="0"/>
          <w:numId w:val="5"/>
        </w:numPr>
        <w:shd w:val="clear" w:color="auto" w:fill="FFFFFF"/>
        <w:snapToGrid w:val="0"/>
        <w:spacing w:after="200" w:line="288" w:lineRule="auto"/>
        <w:ind w:left="567" w:firstLineChars="0" w:hanging="567"/>
        <w:rPr>
          <w:rFonts w:ascii="Times New Roman" w:hAnsi="Arial" w:cs="Arial"/>
          <w:b/>
          <w:bCs/>
          <w:color w:val="333333"/>
          <w:kern w:val="0"/>
          <w:sz w:val="24"/>
          <w:szCs w:val="24"/>
        </w:rPr>
      </w:pPr>
      <w:r>
        <w:rPr>
          <w:rFonts w:ascii="Times New Roman" w:hAnsi="Arial" w:cs="Arial"/>
          <w:b/>
          <w:bCs/>
          <w:color w:val="333333"/>
          <w:kern w:val="0"/>
          <w:sz w:val="24"/>
          <w:szCs w:val="24"/>
        </w:rPr>
        <w:t>Additional note</w:t>
      </w:r>
    </w:p>
    <w:p w:rsidR="00010291" w:rsidRDefault="00010291" w:rsidP="00010291">
      <w:pPr>
        <w:pStyle w:val="a7"/>
        <w:widowControl/>
        <w:shd w:val="clear" w:color="auto" w:fill="FFFFFF"/>
        <w:snapToGrid w:val="0"/>
        <w:spacing w:after="200" w:line="288" w:lineRule="auto"/>
        <w:ind w:left="420"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 xml:space="preserve">The Standard shall be subject to the interpretation of DCE. </w:t>
      </w:r>
    </w:p>
    <w:p w:rsidR="00010291" w:rsidRDefault="00010291" w:rsidP="00010291">
      <w:pPr>
        <w:spacing w:after="200" w:line="288" w:lineRule="auto"/>
        <w:rPr>
          <w:rFonts w:ascii="Times New Roman" w:hAnsi="Times New Roman" w:cs="Times New Roman"/>
          <w:b/>
          <w:bCs/>
          <w:kern w:val="2"/>
          <w:sz w:val="24"/>
          <w:szCs w:val="24"/>
        </w:rPr>
      </w:pPr>
      <w:r>
        <w:rPr>
          <w:rFonts w:ascii="Times New Roman" w:hAnsi="Times New Roman" w:cs="Times New Roman"/>
          <w:b/>
          <w:bCs/>
          <w:sz w:val="24"/>
          <w:szCs w:val="24"/>
        </w:rPr>
        <w:t xml:space="preserve"> </w:t>
      </w:r>
    </w:p>
    <w:p w:rsidR="00A31C7B" w:rsidRPr="00125CBC" w:rsidRDefault="00010291" w:rsidP="00A31C7B">
      <w:pPr>
        <w:jc w:val="left"/>
        <w:rPr>
          <w:rFonts w:ascii="Times New Roman" w:hAnsi="Times New Roman" w:cs="Times New Roman"/>
          <w:color w:val="333333"/>
          <w:sz w:val="24"/>
          <w:szCs w:val="24"/>
        </w:rPr>
      </w:pPr>
      <w:r>
        <w:rPr>
          <w:rFonts w:ascii="Times New Roman" w:hAnsi="Times New Roman" w:hint="eastAsia"/>
          <w:b/>
          <w:bCs/>
          <w:sz w:val="24"/>
          <w:szCs w:val="24"/>
        </w:rPr>
        <w:t>Annex</w:t>
      </w:r>
      <w:r>
        <w:rPr>
          <w:rFonts w:ascii="Times New Roman" w:hAnsi="Times New Roman" w:cs="Times New Roman"/>
          <w:b/>
          <w:bCs/>
          <w:sz w:val="24"/>
          <w:szCs w:val="24"/>
        </w:rPr>
        <w:t xml:space="preserve"> 2:  List of Delivery Warehouses Designated for Blockboard of Dalian Commodity Exchange.</w:t>
      </w:r>
      <w:bookmarkStart w:id="2" w:name="_Hlk533755384"/>
      <w:bookmarkEnd w:id="2"/>
      <w:r>
        <w:rPr>
          <w:rFonts w:ascii="Times New Roman" w:hAnsi="Times New Roman" w:cs="Arial" w:hint="eastAsia"/>
          <w:color w:val="333333"/>
          <w:sz w:val="24"/>
          <w:szCs w:val="24"/>
        </w:rPr>
        <w:t xml:space="preserve"> </w:t>
      </w:r>
      <w:r w:rsidR="00A31C7B" w:rsidRPr="00125CBC">
        <w:rPr>
          <w:rFonts w:ascii="Times New Roman" w:hAnsi="Times New Roman" w:cs="Times New Roman"/>
          <w:color w:val="333333"/>
          <w:sz w:val="24"/>
          <w:szCs w:val="24"/>
        </w:rPr>
        <w:t>（</w:t>
      </w:r>
      <w:r w:rsidR="00A31C7B" w:rsidRPr="00125CBC">
        <w:rPr>
          <w:rFonts w:ascii="Times New Roman" w:hAnsi="Times New Roman" w:cs="Times New Roman"/>
          <w:sz w:val="24"/>
          <w:szCs w:val="24"/>
        </w:rPr>
        <w:t>http://www.dce.com.cn/dalianshangpin/ywfw/ywzy/nypjgywzy/index.html</w:t>
      </w:r>
      <w:r w:rsidR="00A31C7B" w:rsidRPr="00125CBC">
        <w:rPr>
          <w:rFonts w:ascii="Times New Roman" w:hAnsi="Times New Roman" w:cs="Times New Roman"/>
          <w:color w:val="333333"/>
          <w:sz w:val="24"/>
          <w:szCs w:val="24"/>
        </w:rPr>
        <w:t>）</w:t>
      </w:r>
    </w:p>
    <w:p w:rsidR="00010291" w:rsidRDefault="00010291" w:rsidP="00A31C7B">
      <w:pPr>
        <w:spacing w:after="200" w:line="288" w:lineRule="auto"/>
        <w:jc w:val="left"/>
        <w:rPr>
          <w:rFonts w:ascii="Times New Roman" w:hAnsi="Times New Roman"/>
          <w:b/>
          <w:bCs/>
          <w:sz w:val="24"/>
          <w:szCs w:val="24"/>
        </w:rPr>
      </w:pPr>
      <w:bookmarkStart w:id="3" w:name="_GoBack"/>
      <w:bookmarkEnd w:id="3"/>
      <w:r>
        <w:rPr>
          <w:rFonts w:ascii="Times New Roman" w:hAnsi="Times New Roman" w:hint="eastAsia"/>
          <w:b/>
          <w:bCs/>
          <w:sz w:val="24"/>
          <w:szCs w:val="24"/>
        </w:rPr>
        <w:t xml:space="preserve"> </w:t>
      </w:r>
    </w:p>
    <w:p w:rsidR="002757CE" w:rsidRPr="00010291" w:rsidRDefault="002757CE" w:rsidP="00F30D58">
      <w:pPr>
        <w:adjustRightInd w:val="0"/>
        <w:snapToGrid w:val="0"/>
        <w:spacing w:before="200" w:line="288" w:lineRule="auto"/>
        <w:jc w:val="left"/>
        <w:rPr>
          <w:rFonts w:ascii="Times New Roman" w:hAnsi="Times New Roman" w:cs="Times New Roman"/>
          <w:b/>
          <w:sz w:val="24"/>
          <w:szCs w:val="24"/>
        </w:rPr>
      </w:pPr>
    </w:p>
    <w:sectPr w:rsidR="002757CE" w:rsidRPr="000102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91" w:rsidRDefault="00010291" w:rsidP="00010291">
      <w:r>
        <w:separator/>
      </w:r>
    </w:p>
  </w:endnote>
  <w:endnote w:type="continuationSeparator" w:id="0">
    <w:p w:rsidR="00010291" w:rsidRDefault="00010291" w:rsidP="0001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91" w:rsidRDefault="00010291" w:rsidP="00010291">
      <w:r>
        <w:separator/>
      </w:r>
    </w:p>
  </w:footnote>
  <w:footnote w:type="continuationSeparator" w:id="0">
    <w:p w:rsidR="00010291" w:rsidRDefault="00010291" w:rsidP="0001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472E"/>
    <w:multiLevelType w:val="multilevel"/>
    <w:tmpl w:val="066E472E"/>
    <w:lvl w:ilvl="0">
      <w:start w:val="1"/>
      <w:numFmt w:val="decimal"/>
      <w:lvlText w:val="Article %1"/>
      <w:lvlJc w:val="left"/>
      <w:pPr>
        <w:ind w:left="420" w:hanging="420"/>
      </w:pPr>
      <w:rPr>
        <w:rFonts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BE24C3"/>
    <w:multiLevelType w:val="multilevel"/>
    <w:tmpl w:val="08BE24C3"/>
    <w:lvl w:ilvl="0">
      <w:start w:val="1"/>
      <w:numFmt w:val="decimal"/>
      <w:lvlText w:val="(%1)"/>
      <w:lvlJc w:val="left"/>
      <w:pPr>
        <w:ind w:left="2097" w:hanging="360"/>
      </w:pPr>
      <w:rPr>
        <w:rFonts w:hint="default"/>
      </w:rPr>
    </w:lvl>
    <w:lvl w:ilvl="1">
      <w:start w:val="1"/>
      <w:numFmt w:val="lowerLetter"/>
      <w:lvlText w:val="%2."/>
      <w:lvlJc w:val="left"/>
      <w:pPr>
        <w:ind w:left="2817" w:hanging="360"/>
      </w:pPr>
    </w:lvl>
    <w:lvl w:ilvl="2">
      <w:start w:val="1"/>
      <w:numFmt w:val="lowerRoman"/>
      <w:lvlText w:val="%3."/>
      <w:lvlJc w:val="right"/>
      <w:pPr>
        <w:ind w:left="3537" w:hanging="180"/>
      </w:pPr>
    </w:lvl>
    <w:lvl w:ilvl="3">
      <w:start w:val="1"/>
      <w:numFmt w:val="decimal"/>
      <w:lvlText w:val="%4."/>
      <w:lvlJc w:val="left"/>
      <w:pPr>
        <w:ind w:left="4257" w:hanging="360"/>
      </w:pPr>
    </w:lvl>
    <w:lvl w:ilvl="4">
      <w:start w:val="1"/>
      <w:numFmt w:val="lowerLetter"/>
      <w:lvlText w:val="%5."/>
      <w:lvlJc w:val="left"/>
      <w:pPr>
        <w:ind w:left="4977" w:hanging="360"/>
      </w:pPr>
    </w:lvl>
    <w:lvl w:ilvl="5">
      <w:start w:val="1"/>
      <w:numFmt w:val="lowerRoman"/>
      <w:lvlText w:val="%6."/>
      <w:lvlJc w:val="right"/>
      <w:pPr>
        <w:ind w:left="5697" w:hanging="180"/>
      </w:pPr>
    </w:lvl>
    <w:lvl w:ilvl="6">
      <w:start w:val="1"/>
      <w:numFmt w:val="decimal"/>
      <w:lvlText w:val="%7."/>
      <w:lvlJc w:val="left"/>
      <w:pPr>
        <w:ind w:left="6417" w:hanging="360"/>
      </w:pPr>
    </w:lvl>
    <w:lvl w:ilvl="7">
      <w:start w:val="1"/>
      <w:numFmt w:val="lowerLetter"/>
      <w:lvlText w:val="%8."/>
      <w:lvlJc w:val="left"/>
      <w:pPr>
        <w:ind w:left="7137" w:hanging="360"/>
      </w:pPr>
    </w:lvl>
    <w:lvl w:ilvl="8">
      <w:start w:val="1"/>
      <w:numFmt w:val="lowerRoman"/>
      <w:lvlText w:val="%9."/>
      <w:lvlJc w:val="right"/>
      <w:pPr>
        <w:ind w:left="7857" w:hanging="180"/>
      </w:pPr>
    </w:lvl>
  </w:abstractNum>
  <w:abstractNum w:abstractNumId="2" w15:restartNumberingAfterBreak="0">
    <w:nsid w:val="235368D3"/>
    <w:multiLevelType w:val="multilevel"/>
    <w:tmpl w:val="235368D3"/>
    <w:lvl w:ilvl="0">
      <w:start w:val="1"/>
      <w:numFmt w:val="decimal"/>
      <w:lvlText w:val="(%1)"/>
      <w:lvlJc w:val="left"/>
      <w:pPr>
        <w:ind w:left="2097" w:hanging="360"/>
      </w:pPr>
      <w:rPr>
        <w:rFonts w:hint="default"/>
      </w:rPr>
    </w:lvl>
    <w:lvl w:ilvl="1">
      <w:start w:val="1"/>
      <w:numFmt w:val="lowerLetter"/>
      <w:lvlText w:val="%2."/>
      <w:lvlJc w:val="left"/>
      <w:pPr>
        <w:ind w:left="2817" w:hanging="360"/>
      </w:pPr>
    </w:lvl>
    <w:lvl w:ilvl="2">
      <w:start w:val="1"/>
      <w:numFmt w:val="lowerRoman"/>
      <w:lvlText w:val="%3."/>
      <w:lvlJc w:val="right"/>
      <w:pPr>
        <w:ind w:left="3537" w:hanging="180"/>
      </w:pPr>
    </w:lvl>
    <w:lvl w:ilvl="3">
      <w:start w:val="1"/>
      <w:numFmt w:val="decimal"/>
      <w:lvlText w:val="%4."/>
      <w:lvlJc w:val="left"/>
      <w:pPr>
        <w:ind w:left="4257" w:hanging="360"/>
      </w:pPr>
    </w:lvl>
    <w:lvl w:ilvl="4">
      <w:start w:val="1"/>
      <w:numFmt w:val="lowerLetter"/>
      <w:lvlText w:val="%5."/>
      <w:lvlJc w:val="left"/>
      <w:pPr>
        <w:ind w:left="4977" w:hanging="360"/>
      </w:pPr>
    </w:lvl>
    <w:lvl w:ilvl="5">
      <w:start w:val="1"/>
      <w:numFmt w:val="lowerRoman"/>
      <w:lvlText w:val="%6."/>
      <w:lvlJc w:val="right"/>
      <w:pPr>
        <w:ind w:left="5697" w:hanging="180"/>
      </w:pPr>
    </w:lvl>
    <w:lvl w:ilvl="6">
      <w:start w:val="1"/>
      <w:numFmt w:val="decimal"/>
      <w:lvlText w:val="%7."/>
      <w:lvlJc w:val="left"/>
      <w:pPr>
        <w:ind w:left="6417" w:hanging="360"/>
      </w:pPr>
    </w:lvl>
    <w:lvl w:ilvl="7">
      <w:start w:val="1"/>
      <w:numFmt w:val="lowerLetter"/>
      <w:lvlText w:val="%8."/>
      <w:lvlJc w:val="left"/>
      <w:pPr>
        <w:ind w:left="7137" w:hanging="360"/>
      </w:pPr>
    </w:lvl>
    <w:lvl w:ilvl="8">
      <w:start w:val="1"/>
      <w:numFmt w:val="lowerRoman"/>
      <w:lvlText w:val="%9."/>
      <w:lvlJc w:val="right"/>
      <w:pPr>
        <w:ind w:left="7857" w:hanging="180"/>
      </w:pPr>
    </w:lvl>
  </w:abstractNum>
  <w:abstractNum w:abstractNumId="3" w15:restartNumberingAfterBreak="0">
    <w:nsid w:val="2F7E2101"/>
    <w:multiLevelType w:val="multilevel"/>
    <w:tmpl w:val="D0FE4CAC"/>
    <w:lvl w:ilvl="0">
      <w:start w:val="1"/>
      <w:numFmt w:val="decimal"/>
      <w:lvlText w:val="%1"/>
      <w:lvlJc w:val="left"/>
      <w:pPr>
        <w:ind w:left="425" w:hanging="425"/>
      </w:pPr>
      <w:rPr>
        <w:rFonts w:ascii="Times New Roman" w:hAnsi="Times New Roman" w:cs="Times New Roman" w:hint="default"/>
        <w:b/>
        <w:bCs/>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4" w15:restartNumberingAfterBreak="0">
    <w:nsid w:val="798526E9"/>
    <w:multiLevelType w:val="multilevel"/>
    <w:tmpl w:val="0409001D"/>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5" w15:restartNumberingAfterBreak="0">
    <w:nsid w:val="7F582639"/>
    <w:multiLevelType w:val="multilevel"/>
    <w:tmpl w:val="7F582639"/>
    <w:lvl w:ilvl="0">
      <w:start w:val="1"/>
      <w:numFmt w:val="decimal"/>
      <w:lvlText w:val="(%1)"/>
      <w:lvlJc w:val="left"/>
      <w:pPr>
        <w:ind w:left="2097" w:hanging="360"/>
      </w:pPr>
      <w:rPr>
        <w:rFonts w:hint="default"/>
      </w:rPr>
    </w:lvl>
    <w:lvl w:ilvl="1">
      <w:start w:val="1"/>
      <w:numFmt w:val="lowerLetter"/>
      <w:lvlText w:val="%2."/>
      <w:lvlJc w:val="left"/>
      <w:pPr>
        <w:ind w:left="2817" w:hanging="360"/>
      </w:pPr>
    </w:lvl>
    <w:lvl w:ilvl="2">
      <w:start w:val="1"/>
      <w:numFmt w:val="lowerRoman"/>
      <w:lvlText w:val="%3."/>
      <w:lvlJc w:val="right"/>
      <w:pPr>
        <w:ind w:left="3537" w:hanging="180"/>
      </w:pPr>
    </w:lvl>
    <w:lvl w:ilvl="3">
      <w:start w:val="1"/>
      <w:numFmt w:val="decimal"/>
      <w:lvlText w:val="%4."/>
      <w:lvlJc w:val="left"/>
      <w:pPr>
        <w:ind w:left="4257" w:hanging="360"/>
      </w:pPr>
    </w:lvl>
    <w:lvl w:ilvl="4">
      <w:start w:val="1"/>
      <w:numFmt w:val="lowerLetter"/>
      <w:lvlText w:val="%5."/>
      <w:lvlJc w:val="left"/>
      <w:pPr>
        <w:ind w:left="4977" w:hanging="360"/>
      </w:pPr>
    </w:lvl>
    <w:lvl w:ilvl="5">
      <w:start w:val="1"/>
      <w:numFmt w:val="lowerRoman"/>
      <w:lvlText w:val="%6."/>
      <w:lvlJc w:val="right"/>
      <w:pPr>
        <w:ind w:left="5697" w:hanging="180"/>
      </w:pPr>
    </w:lvl>
    <w:lvl w:ilvl="6">
      <w:start w:val="1"/>
      <w:numFmt w:val="decimal"/>
      <w:lvlText w:val="%7."/>
      <w:lvlJc w:val="left"/>
      <w:pPr>
        <w:ind w:left="6417" w:hanging="360"/>
      </w:pPr>
    </w:lvl>
    <w:lvl w:ilvl="7">
      <w:start w:val="1"/>
      <w:numFmt w:val="lowerLetter"/>
      <w:lvlText w:val="%8."/>
      <w:lvlJc w:val="left"/>
      <w:pPr>
        <w:ind w:left="7137" w:hanging="360"/>
      </w:pPr>
    </w:lvl>
    <w:lvl w:ilvl="8">
      <w:start w:val="1"/>
      <w:numFmt w:val="lowerRoman"/>
      <w:lvlText w:val="%9."/>
      <w:lvlJc w:val="right"/>
      <w:pPr>
        <w:ind w:left="7857" w:hanging="180"/>
      </w:pPr>
    </w:lvl>
  </w:abstractNum>
  <w:num w:numId="1">
    <w:abstractNumId w:val="0"/>
  </w:num>
  <w:num w:numId="2">
    <w:abstractNumId w:val="5"/>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58"/>
    <w:rsid w:val="00010291"/>
    <w:rsid w:val="001203E3"/>
    <w:rsid w:val="002757CE"/>
    <w:rsid w:val="00A31C7B"/>
    <w:rsid w:val="00F3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AE4D260-D1BE-42BE-BB15-59D78F24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D58"/>
    <w:pPr>
      <w:jc w:val="both"/>
    </w:pPr>
    <w:rPr>
      <w:rFonts w:ascii="Calibri" w:eastAsia="宋体" w:hAnsi="Calibri" w:cs="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2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0291"/>
    <w:rPr>
      <w:rFonts w:ascii="Calibri" w:eastAsia="宋体" w:hAnsi="Calibri" w:cs="Calibri"/>
      <w:kern w:val="0"/>
      <w:sz w:val="18"/>
      <w:szCs w:val="18"/>
    </w:rPr>
  </w:style>
  <w:style w:type="paragraph" w:styleId="a5">
    <w:name w:val="footer"/>
    <w:basedOn w:val="a"/>
    <w:link w:val="a6"/>
    <w:uiPriority w:val="99"/>
    <w:unhideWhenUsed/>
    <w:rsid w:val="00010291"/>
    <w:pPr>
      <w:tabs>
        <w:tab w:val="center" w:pos="4153"/>
        <w:tab w:val="right" w:pos="8306"/>
      </w:tabs>
      <w:snapToGrid w:val="0"/>
      <w:jc w:val="left"/>
    </w:pPr>
    <w:rPr>
      <w:sz w:val="18"/>
      <w:szCs w:val="18"/>
    </w:rPr>
  </w:style>
  <w:style w:type="character" w:customStyle="1" w:styleId="a6">
    <w:name w:val="页脚 字符"/>
    <w:basedOn w:val="a0"/>
    <w:link w:val="a5"/>
    <w:uiPriority w:val="99"/>
    <w:rsid w:val="00010291"/>
    <w:rPr>
      <w:rFonts w:ascii="Calibri" w:eastAsia="宋体" w:hAnsi="Calibri" w:cs="Calibri"/>
      <w:kern w:val="0"/>
      <w:sz w:val="18"/>
      <w:szCs w:val="18"/>
    </w:rPr>
  </w:style>
  <w:style w:type="paragraph" w:styleId="a7">
    <w:name w:val="List Paragraph"/>
    <w:basedOn w:val="a"/>
    <w:uiPriority w:val="99"/>
    <w:qFormat/>
    <w:rsid w:val="00010291"/>
    <w:pPr>
      <w:widowControl w:val="0"/>
      <w:ind w:firstLineChars="200" w:firstLine="420"/>
    </w:pPr>
    <w:rPr>
      <w:kern w:val="2"/>
    </w:rPr>
  </w:style>
  <w:style w:type="character" w:customStyle="1" w:styleId="15">
    <w:name w:val="15"/>
    <w:basedOn w:val="a0"/>
    <w:rsid w:val="00010291"/>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3683</Words>
  <Characters>20996</Characters>
  <Application>Microsoft Office Word</Application>
  <DocSecurity>0</DocSecurity>
  <Lines>174</Lines>
  <Paragraphs>49</Paragraphs>
  <ScaleCrop>false</ScaleCrop>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3</cp:revision>
  <dcterms:created xsi:type="dcterms:W3CDTF">2022-04-27T06:33:00Z</dcterms:created>
  <dcterms:modified xsi:type="dcterms:W3CDTF">2022-04-27T07:09:00Z</dcterms:modified>
</cp:coreProperties>
</file>